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18" w:space="1" w:color="000000"/>
          <w:bottom w:val="single" w:sz="2" w:space="1" w:color="000000"/>
        </w:pBdr>
        <w:bidi w:val="0"/>
        <w:spacing w:before="0" w:after="240"/>
        <w:ind w:left="0" w:right="0" w:hanging="0"/>
        <w:jc w:val="center"/>
      </w:pPr>
      <w:bookmarkStart w:id="0" w:name="vhl-20261105x8k.htm"/>
      <w:bookmarkStart w:id="1" w:name="ksvhl20261105x8k"/>
      <w:bookmarkEnd w:id="0"/>
      <w:bookmarkEnd w:id="1"/>
      <w:r>
        <w:t>​</w:t>
      </w:r>
    </w:p>
    <w:p>
      <w:pPr>
        <w:pStyle w:val="TextBody"/>
        <w:bidi w:val="0"/>
        <w:spacing w:before="0" w:after="240"/>
        <w:ind w:left="0" w:right="0" w:hanging="0"/>
        <w:jc w:val="center"/>
      </w:pPr>
      <w:bookmarkStart w:id="2" w:name="_84045001_fbe6_433f_95b3_69cfc034d3f2"/>
      <w:bookmarkEnd w:id="2"/>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0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November 5, 2026</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VALHI, INC.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3" w:name="Tc_kqgZeFmBPEWVz5wabIVyDA_1_2"/>
      <w:bookmarkStart w:id="4" w:name="Tc_y3Dh9CTfcEup9tcMKiOTVg_1_1"/>
      <w:bookmarkStart w:id="5" w:name="Tc_aRqTuKCRjkyR-i4u3kyknQ_1_0"/>
      <w:bookmarkStart w:id="6" w:name="_0defd52f_31bc_45b8_92be_cb63f87bcfcb"/>
      <w:bookmarkStart w:id="7" w:name="Tc_kqgZeFmBPEWVz5wabIVyDA_1_2"/>
      <w:bookmarkStart w:id="8" w:name="Tc_y3Dh9CTfcEup9tcMKiOTVg_1_1"/>
      <w:bookmarkStart w:id="9" w:name="Tc_aRqTuKCRjkyR-i4u3kyknQ_1_0"/>
      <w:bookmarkStart w:id="10" w:name="_0defd52f_31bc_45b8_92be_cb63f87bcfcb"/>
      <w:bookmarkEnd w:id="7"/>
      <w:bookmarkEnd w:id="8"/>
      <w:bookmarkEnd w:id="9"/>
      <w:bookmarkEnd w:id="10"/>
    </w:p>
    <w:tbl>
      <w:tblPr>
        <w:tblW w:w="6513" w:type="dxa"/>
        <w:jc w:val="left"/>
        <w:tblInd w:w="0" w:type="dxa"/>
        <w:tblLayout w:type="fixed"/>
        <w:tblCellMar>
          <w:top w:w="0" w:type="dxa"/>
          <w:left w:w="0" w:type="dxa"/>
          <w:bottom w:w="0" w:type="dxa"/>
          <w:right w:w="0" w:type="dxa"/>
        </w:tblCellMar>
      </w:tblPr>
      <w:tblGrid>
        <w:gridCol w:w="3676"/>
        <w:gridCol w:w="1186"/>
        <w:gridCol w:w="1651"/>
      </w:tblGrid>
      <w:tr>
        <w:tc>
          <w:tcPr>
            <w:tcW w:w="367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Delaware</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1-5467</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87-0110150</w:t>
            </w:r>
          </w:p>
        </w:tc>
      </w:tr>
      <w:tr>
        <w:tc>
          <w:tcPr>
            <w:tcW w:w="3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br/>
              <w:t>File Number)</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pPr>
      <w:r>
        <w:t>​</w:t>
      </w:r>
    </w:p>
    <w:p>
      <w:pPr>
        <w:pStyle w:val="Normal"/>
        <w:bidi w:val="0"/>
        <w:spacing w:before="0" w:after="0"/>
        <w:jc w:val="left"/>
        <w:rPr>
          <w:sz w:val="4"/>
          <w:szCs w:val="4"/>
        </w:rPr>
      </w:pPr>
      <w:r>
        <w:rPr>
          <w:sz w:val="4"/>
          <w:szCs w:val="4"/>
        </w:rPr>
      </w:r>
      <w:bookmarkStart w:id="11" w:name="Tc_1QhsZC1PakaOXpOu818AYw_1_1"/>
      <w:bookmarkStart w:id="12" w:name="Tc_KR4r0cY02UGDFQ8RCqWycQ_1_0"/>
      <w:bookmarkStart w:id="13" w:name="Tc_NhYBHwEtLEW7kMoRw7gl2Q_0_0"/>
      <w:bookmarkStart w:id="14" w:name="_8e25643c_b046_4197_888a_ed57a33ca7fb"/>
      <w:bookmarkStart w:id="15" w:name="Tc_1QhsZC1PakaOXpOu818AYw_1_1"/>
      <w:bookmarkStart w:id="16" w:name="Tc_KR4r0cY02UGDFQ8RCqWycQ_1_0"/>
      <w:bookmarkStart w:id="17" w:name="Tc_NhYBHwEtLEW7kMoRw7gl2Q_0_0"/>
      <w:bookmarkStart w:id="18" w:name="_8e25643c_b046_4197_888a_ed57a33ca7fb"/>
      <w:bookmarkEnd w:id="15"/>
      <w:bookmarkEnd w:id="16"/>
      <w:bookmarkEnd w:id="17"/>
      <w:bookmarkEnd w:id="18"/>
    </w:p>
    <w:tbl>
      <w:tblPr>
        <w:tblW w:w="6002" w:type="dxa"/>
        <w:jc w:val="left"/>
        <w:tblInd w:w="0" w:type="dxa"/>
        <w:tblLayout w:type="fixed"/>
        <w:tblCellMar>
          <w:top w:w="0" w:type="dxa"/>
          <w:left w:w="0" w:type="dxa"/>
          <w:bottom w:w="0" w:type="dxa"/>
          <w:right w:w="0" w:type="dxa"/>
        </w:tblCellMar>
      </w:tblPr>
      <w:tblGrid>
        <w:gridCol w:w="4696"/>
        <w:gridCol w:w="1306"/>
      </w:tblGrid>
      <w:tr>
        <w:tc>
          <w:tcPr>
            <w:tcW w:w="469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5430 LBJ Freeway, Suite 1700, Dallas, Texas</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75240-2620</w:t>
            </w:r>
          </w:p>
        </w:tc>
      </w:tr>
      <w:tr>
        <w:tc>
          <w:tcPr>
            <w:tcW w:w="46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40"/>
        <w:ind w:left="0" w:right="0" w:hanging="0"/>
        <w:jc w:val="both"/>
      </w:pPr>
      <w: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(972) 233-1700</w:t>
      </w:r>
    </w:p>
    <w:tbl>
      <w:tblPr>
        <w:tblW w:w="5071" w:type="dxa"/>
        <w:jc w:val="left"/>
        <w:tblInd w:w="0" w:type="dxa"/>
        <w:tblLayout w:type="fixed"/>
        <w:tblCellMar>
          <w:top w:w="0" w:type="dxa"/>
          <w:left w:w="0" w:type="dxa"/>
          <w:bottom w:w="0" w:type="dxa"/>
          <w:right w:w="0" w:type="dxa"/>
        </w:tblCellMar>
      </w:tblPr>
      <w:tblGrid>
        <w:gridCol w:w="5071"/>
      </w:tblGrid>
      <w:tr>
        <w:tc>
          <w:tcPr>
            <w:tcW w:w="50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left"/>
      </w:pPr>
      <w: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w:t>
      </w:r>
    </w:p>
    <w:p>
      <w:pPr>
        <w:pStyle w:val="Normal"/>
        <w:bidi w:val="0"/>
        <w:spacing w:before="0" w:after="0"/>
        <w:jc w:val="left"/>
        <w:rPr>
          <w:sz w:val="4"/>
          <w:szCs w:val="4"/>
        </w:rPr>
      </w:pPr>
      <w:r>
        <w:rPr>
          <w:sz w:val="4"/>
          <w:szCs w:val="4"/>
        </w:rPr>
      </w:r>
      <w:bookmarkStart w:id="19" w:name="Tc_6gaPvwu_7U-u3K91FHf0xg_6_1"/>
      <w:bookmarkStart w:id="20" w:name="Tc_l8XHqthWtkSN6MF2Z6mE4g_4_1"/>
      <w:bookmarkStart w:id="21" w:name="Tc_PB2wYglvqUmbqQgfXPHzOQ_2_1"/>
      <w:bookmarkStart w:id="22" w:name="Tc_G7vGvfeDLkS9kaga31NlJQ_0_1"/>
      <w:bookmarkStart w:id="23" w:name="_2c14c44f_969e_43b6_93e6_a27c7879fe9d"/>
      <w:bookmarkStart w:id="24" w:name="Tc_6gaPvwu_7U-u3K91FHf0xg_6_1"/>
      <w:bookmarkStart w:id="25" w:name="Tc_l8XHqthWtkSN6MF2Z6mE4g_4_1"/>
      <w:bookmarkStart w:id="26" w:name="Tc_PB2wYglvqUmbqQgfXPHzOQ_2_1"/>
      <w:bookmarkStart w:id="27" w:name="Tc_G7vGvfeDLkS9kaga31NlJQ_0_1"/>
      <w:bookmarkStart w:id="28" w:name="_2c14c44f_969e_43b6_93e6_a27c7879fe9d"/>
      <w:bookmarkEnd w:id="24"/>
      <w:bookmarkEnd w:id="25"/>
      <w:bookmarkEnd w:id="26"/>
      <w:bookmarkEnd w:id="27"/>
      <w:bookmarkEnd w:id="28"/>
    </w:p>
    <w:tbl>
      <w:tblPr>
        <w:tblW w:w="9512" w:type="dxa"/>
        <w:jc w:val="left"/>
        <w:tblInd w:w="0" w:type="dxa"/>
        <w:tblLayout w:type="fixed"/>
        <w:tblCellMar>
          <w:top w:w="0" w:type="dxa"/>
          <w:left w:w="0" w:type="dxa"/>
          <w:bottom w:w="0" w:type="dxa"/>
          <w:right w:w="0" w:type="dxa"/>
        </w:tblCellMar>
      </w:tblPr>
      <w:tblGrid>
        <w:gridCol w:w="331"/>
        <w:gridCol w:w="9181"/>
      </w:tblGrid>
      <w:tr>
        <w:tc>
          <w:tcPr>
            <w:tcW w:w="331" w:type="dxa"/>
            <w:tcBorders/>
            <w:vAlign w:val="center"/>
          </w:tcPr>
          <w:p>
            <w:pPr>
              <w:pStyle w:val="TableContents"/>
              <w:bidi w:val="0"/>
              <w:spacing w:before="0" w:after="0"/>
              <w:ind w:left="0" w:right="0" w:hanging="0"/>
              <w:jc w:val="center"/>
            </w:pPr>
            <w: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c>
          <w:tcPr>
            <w:tcW w:w="331" w:type="dxa"/>
            <w:tcBorders/>
            <w:vAlign w:val="center"/>
          </w:tcPr>
          <w:p>
            <w:pPr>
              <w:pStyle w:val="TableContents"/>
              <w:bidi w:val="0"/>
              <w:spacing w:before="0" w:after="240"/>
              <w:ind w:left="0" w:right="0" w:hanging="0"/>
              <w:jc w:val="center"/>
            </w:pPr>
            <w:r>
              <w:t>​</w:t>
            </w:r>
          </w:p>
        </w:tc>
        <w:tc>
          <w:tcPr>
            <w:tcW w:w="9181" w:type="dxa"/>
            <w:tcBorders/>
            <w:vAlign w:val="center"/>
          </w:tcPr>
          <w:p>
            <w:pPr>
              <w:pStyle w:val="TableContents"/>
              <w:bidi w:val="0"/>
              <w:spacing w:before="0" w:after="240"/>
              <w:ind w:left="0" w:right="0" w:hanging="0"/>
              <w:jc w:val="both"/>
            </w:pPr>
            <w:r>
              <w:t>​</w:t>
            </w:r>
          </w:p>
        </w:tc>
      </w:tr>
      <w:tr>
        <w:tc>
          <w:tcPr>
            <w:tcW w:w="331" w:type="dxa"/>
            <w:tcBorders/>
            <w:vAlign w:val="center"/>
          </w:tcPr>
          <w:p>
            <w:pPr>
              <w:pStyle w:val="TableContents"/>
              <w:bidi w:val="0"/>
              <w:spacing w:before="0" w:after="0"/>
              <w:ind w:left="0" w:right="0" w:hanging="0"/>
              <w:jc w:val="center"/>
            </w:pPr>
            <w: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c>
          <w:tcPr>
            <w:tcW w:w="331" w:type="dxa"/>
            <w:tcBorders/>
            <w:vAlign w:val="center"/>
          </w:tcPr>
          <w:p>
            <w:pPr>
              <w:pStyle w:val="TableContents"/>
              <w:bidi w:val="0"/>
              <w:spacing w:before="0" w:after="240"/>
              <w:ind w:left="0" w:right="0" w:hanging="0"/>
              <w:jc w:val="center"/>
            </w:pPr>
            <w:r>
              <w:t>​</w:t>
            </w:r>
          </w:p>
        </w:tc>
        <w:tc>
          <w:tcPr>
            <w:tcW w:w="9181" w:type="dxa"/>
            <w:tcBorders/>
            <w:vAlign w:val="center"/>
          </w:tcPr>
          <w:p>
            <w:pPr>
              <w:pStyle w:val="TableContents"/>
              <w:bidi w:val="0"/>
              <w:spacing w:before="0" w:after="240"/>
              <w:ind w:left="0" w:right="0" w:hanging="0"/>
              <w:jc w:val="both"/>
            </w:pPr>
            <w:r>
              <w:t>​</w:t>
            </w:r>
          </w:p>
        </w:tc>
      </w:tr>
      <w:tr>
        <w:tc>
          <w:tcPr>
            <w:tcW w:w="331" w:type="dxa"/>
            <w:tcBorders/>
            <w:vAlign w:val="center"/>
          </w:tcPr>
          <w:p>
            <w:pPr>
              <w:pStyle w:val="TableContents"/>
              <w:bidi w:val="0"/>
              <w:spacing w:before="0" w:after="0"/>
              <w:ind w:left="0" w:right="0" w:hanging="0"/>
              <w:jc w:val="center"/>
            </w:pPr>
            <w: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c>
          <w:tcPr>
            <w:tcW w:w="331" w:type="dxa"/>
            <w:tcBorders/>
            <w:vAlign w:val="center"/>
          </w:tcPr>
          <w:p>
            <w:pPr>
              <w:pStyle w:val="TableContents"/>
              <w:bidi w:val="0"/>
              <w:spacing w:before="0" w:after="240"/>
              <w:ind w:left="0" w:right="0" w:hanging="0"/>
              <w:jc w:val="center"/>
            </w:pPr>
            <w:r>
              <w:t>​</w:t>
            </w:r>
          </w:p>
        </w:tc>
        <w:tc>
          <w:tcPr>
            <w:tcW w:w="9181" w:type="dxa"/>
            <w:tcBorders/>
            <w:vAlign w:val="center"/>
          </w:tcPr>
          <w:p>
            <w:pPr>
              <w:pStyle w:val="TableContents"/>
              <w:bidi w:val="0"/>
              <w:spacing w:before="0" w:after="240"/>
              <w:ind w:left="0" w:right="0" w:hanging="0"/>
              <w:jc w:val="both"/>
            </w:pPr>
            <w:r>
              <w:t>​</w:t>
            </w:r>
          </w:p>
        </w:tc>
      </w:tr>
      <w:tr>
        <w:tc>
          <w:tcPr>
            <w:tcW w:w="331" w:type="dxa"/>
            <w:tcBorders/>
            <w:vAlign w:val="center"/>
          </w:tcPr>
          <w:p>
            <w:pPr>
              <w:pStyle w:val="TableContents"/>
              <w:bidi w:val="0"/>
              <w:spacing w:before="0" w:after="0"/>
              <w:ind w:left="0" w:right="0" w:hanging="0"/>
              <w:jc w:val="center"/>
            </w:pPr>
            <w: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240"/>
        <w:ind w:left="0" w:right="0" w:firstLine="720"/>
        <w:jc w:val="both"/>
      </w:pPr>
      <w:r>
        <w:t>​</w:t>
      </w:r>
    </w:p>
    <w:p>
      <w:pPr>
        <w:pStyle w:val="TextBody"/>
        <w:bidi w:val="0"/>
        <w:spacing w:before="0" w:after="240"/>
        <w:ind w:left="0" w:right="0" w:hanging="0"/>
        <w:jc w:val="both"/>
      </w:pPr>
      <w: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29" w:name="Tc_pxpP7U87nkaCXFqQcFZSyw_0_4"/>
      <w:bookmarkStart w:id="30" w:name="Tc_qUM7ifTFF0ivnQ8HQ1Ip8A_0_2"/>
      <w:bookmarkStart w:id="31" w:name="Tc_5_q2SjBmw0y1uZ9j8vmCBQ_0_0"/>
      <w:bookmarkStart w:id="32" w:name="_5ff3b4e7_5b9b_4fa4_88bb_2c717c569d2b"/>
      <w:bookmarkStart w:id="33" w:name="Tc_pxpP7U87nkaCXFqQcFZSyw_0_4"/>
      <w:bookmarkStart w:id="34" w:name="Tc_qUM7ifTFF0ivnQ8HQ1Ip8A_0_2"/>
      <w:bookmarkStart w:id="35" w:name="Tc_5_q2SjBmw0y1uZ9j8vmCBQ_0_0"/>
      <w:bookmarkStart w:id="36" w:name="_5ff3b4e7_5b9b_4fa4_88bb_2c717c569d2b"/>
      <w:bookmarkEnd w:id="33"/>
      <w:bookmarkEnd w:id="34"/>
      <w:bookmarkEnd w:id="35"/>
      <w:bookmarkEnd w:id="36"/>
    </w:p>
    <w:tbl>
      <w:tblPr>
        <w:tblW w:w="6230" w:type="dxa"/>
        <w:jc w:val="left"/>
        <w:tblInd w:w="0" w:type="dxa"/>
        <w:tblLayout w:type="fixed"/>
        <w:tblCellMar>
          <w:top w:w="0" w:type="dxa"/>
          <w:left w:w="0" w:type="dxa"/>
          <w:bottom w:w="28" w:type="dxa"/>
          <w:right w:w="0" w:type="dxa"/>
        </w:tblCellMar>
      </w:tblPr>
      <w:tblGrid>
        <w:gridCol w:w="1396"/>
        <w:gridCol w:w="346"/>
        <w:gridCol w:w="826"/>
        <w:gridCol w:w="346"/>
        <w:gridCol w:w="3316"/>
      </w:tblGrid>
      <w:tr>
        <w:tc>
          <w:tcPr>
            <w:tcW w:w="139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tcMar>
              <w:bottom w:w="0" w:type="dxa"/>
            </w:tcMar>
            <w:vAlign w:val="center"/>
          </w:tcPr>
          <w:p>
            <w:pPr>
              <w:pStyle w:val="TableContents"/>
              <w:bidi w:val="0"/>
              <w:spacing w:before="0" w:after="0"/>
              <w:ind w:left="0" w:right="0" w:hanging="0"/>
              <w:jc w:val="center"/>
            </w:pPr>
            <w:r>
              <w:t>  ​ ​ ​</w:t>
            </w:r>
          </w:p>
        </w:tc>
        <w:tc>
          <w:tcPr>
            <w:tcW w:w="8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br/>
              <w:t>Symbol(s)</w:t>
            </w:r>
          </w:p>
        </w:tc>
        <w:tc>
          <w:tcPr>
            <w:tcW w:w="346" w:type="dxa"/>
            <w:tcBorders/>
            <w:tcMar>
              <w:bottom w:w="0" w:type="dxa"/>
            </w:tcMar>
            <w:vAlign w:val="center"/>
          </w:tcPr>
          <w:p>
            <w:pPr>
              <w:pStyle w:val="TableContents"/>
              <w:bidi w:val="0"/>
              <w:spacing w:before="0" w:after="0"/>
              <w:ind w:left="0" w:right="0" w:hanging="0"/>
              <w:jc w:val="both"/>
            </w:pPr>
            <w:r>
              <w:t>  ​ ​ ​</w:t>
            </w:r>
          </w:p>
        </w:tc>
        <w:tc>
          <w:tcPr>
            <w:tcW w:w="33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c>
          <w:tcPr>
            <w:tcW w:w="139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w:t>
            </w:r>
          </w:p>
        </w:tc>
        <w:tc>
          <w:tcPr>
            <w:tcW w:w="346" w:type="dxa"/>
            <w:tcBorders/>
            <w:tcMar>
              <w:bottom w:w="0" w:type="dxa"/>
            </w:tcMar>
            <w:vAlign w:val="center"/>
          </w:tcPr>
          <w:p>
            <w:pPr>
              <w:pStyle w:val="TableContents"/>
              <w:bidi w:val="0"/>
              <w:spacing w:before="0" w:after="240"/>
              <w:ind w:left="0" w:right="0" w:hanging="0"/>
              <w:jc w:val="both"/>
            </w:pPr>
            <w:r>
              <w:t>​</w:t>
            </w:r>
          </w:p>
        </w:tc>
        <w:tc>
          <w:tcPr>
            <w:tcW w:w="8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VHI</w:t>
            </w:r>
          </w:p>
        </w:tc>
        <w:tc>
          <w:tcPr>
            <w:tcW w:w="346" w:type="dxa"/>
            <w:tcBorders/>
            <w:tcMar>
              <w:bottom w:w="0" w:type="dxa"/>
            </w:tcMar>
            <w:vAlign w:val="center"/>
          </w:tcPr>
          <w:p>
            <w:pPr>
              <w:pStyle w:val="TableContents"/>
              <w:bidi w:val="0"/>
              <w:spacing w:before="0" w:after="240"/>
              <w:ind w:left="0" w:right="0" w:hanging="0"/>
              <w:jc w:val="both"/>
            </w:pPr>
            <w:r>
              <w:t>​</w:t>
            </w:r>
          </w:p>
        </w:tc>
        <w:tc>
          <w:tcPr>
            <w:tcW w:w="33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w:t>
            </w:r>
          </w:p>
        </w:tc>
      </w:tr>
    </w:tbl>
    <w:p>
      <w:pPr>
        <w:pStyle w:val="TextBody"/>
        <w:bidi w:val="0"/>
        <w:spacing w:before="0" w:after="240"/>
        <w:ind w:left="0" w:right="0" w:hanging="0"/>
        <w:jc w:val="both"/>
      </w:pPr>
      <w:r>
        <w:t>​</w:t>
      </w:r>
    </w:p>
    <w:p>
      <w:pPr>
        <w:pStyle w:val="TextBody"/>
        <w:bidi w:val="0"/>
        <w:spacing w:before="0" w:after="240"/>
        <w:ind w:left="0" w:right="0" w:hanging="0"/>
        <w:jc w:val="both"/>
      </w:pPr>
      <w: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160"/>
        <w:ind w:left="0" w:right="0" w:firstLine="72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firstLine="720"/>
        <w:jc w:val="both"/>
      </w:pPr>
      <w:r>
        <w:t>​</w:t>
      </w:r>
    </w:p>
    <w:p>
      <w:pPr>
        <w:pStyle w:val="TextBody"/>
        <w:bidi w:val="0"/>
        <w:spacing w:before="0" w:after="240"/>
        <w:ind w:left="0" w:right="0" w:firstLine="720"/>
        <w:jc w:val="both"/>
      </w:pPr>
      <w:r>
        <w:t>​</w:t>
      </w:r>
    </w:p>
    <w:p>
      <w:pPr>
        <w:pStyle w:val="TextBody"/>
        <w:pBdr>
          <w:top w:val="single" w:sz="2" w:space="1" w:color="000000"/>
          <w:bottom w:val="single" w:sz="18" w:space="1" w:color="000000"/>
        </w:pBdr>
        <w:bidi w:val="0"/>
        <w:spacing w:before="0" w:after="240"/>
        <w:ind w:left="0" w:right="0" w:firstLine="720"/>
        <w:jc w:val="both"/>
      </w:pPr>
      <w:r>
        <w:t>​</w:t>
      </w:r>
    </w:p>
    <w:p>
      <w:pPr>
        <w:pStyle w:val="TextBody"/>
        <w:bidi w:val="0"/>
        <w:spacing w:before="0" w:after="240"/>
        <w:ind w:left="0" w:right="0" w:firstLine="720"/>
        <w:jc w:val="both"/>
      </w:pPr>
      <w:r>
        <w:t>​</w:t>
      </w:r>
    </w:p>
    <w:p>
      <w:pPr>
        <w:pStyle w:val="TextBody"/>
        <w:bidi w:val="0"/>
        <w:spacing w:before="0" w:after="240"/>
        <w:ind w:left="0" w:right="0" w:firstLine="720"/>
        <w:jc w:val="both"/>
      </w:pPr>
      <w:r>
        <w:t>​</w:t>
      </w:r>
    </w:p>
    <w:p>
      <w:pPr>
        <w:pStyle w:val="TextBody"/>
        <w:pBdr/>
        <w:bidi w:val="0"/>
        <w:spacing w:before="0" w:after="0"/>
        <w:ind w:left="0" w:right="0" w:hanging="1440"/>
        <w:jc w:val="left"/>
      </w:pPr>
      <w:r>
        <w:t>​</w:t>
      </w:r>
    </w:p>
    <w:p>
      <w:pPr>
        <w:pStyle w:val="TextBody"/>
        <w:pBdr/>
        <w:bidi w:val="0"/>
        <w:spacing w:before="0" w:after="0"/>
        <w:ind w:left="0" w:right="0" w:hanging="1440"/>
        <w:jc w:val="left"/>
      </w:pPr>
      <w:r>
        <w:t>​</w:t>
      </w:r>
    </w:p>
    <w:p>
      <w:pPr>
        <w:pStyle w:val="TextBody"/>
        <w:pBdr/>
        <w:bidi w:val="0"/>
        <w:spacing w:before="0" w:after="0"/>
        <w:ind w:left="0" w:right="0" w:hanging="1440"/>
        <w:jc w:val="left"/>
      </w:pPr>
      <w:r>
        <w:t>​</w:t>
      </w:r>
    </w:p>
    <w:p>
      <w:pPr>
        <w:pStyle w:val="Normal"/>
        <w:bidi w:val="0"/>
        <w:spacing w:before="0" w:after="0"/>
        <w:jc w:val="left"/>
        <w:rPr>
          <w:sz w:val="4"/>
          <w:szCs w:val="4"/>
        </w:rPr>
      </w:pPr>
      <w:r>
        <w:rPr>
          <w:sz w:val="4"/>
          <w:szCs w:val="4"/>
        </w:rPr>
      </w:r>
      <w:bookmarkStart w:id="37" w:name="_329a3657_512f_476a_89a6_72107b35e400"/>
      <w:bookmarkStart w:id="38" w:name="_329a3657_512f_476a_89a6_72107b35e400"/>
      <w:bookmarkEnd w:id="38"/>
    </w:p>
    <w:tbl>
      <w:tblPr>
        <w:tblW w:w="4889" w:type="dxa"/>
        <w:jc w:val="left"/>
        <w:tblInd w:w="0" w:type="dxa"/>
        <w:tblLayout w:type="fixed"/>
        <w:tblCellMar>
          <w:top w:w="0" w:type="dxa"/>
          <w:left w:w="0" w:type="dxa"/>
          <w:bottom w:w="0" w:type="dxa"/>
          <w:right w:w="0" w:type="dxa"/>
        </w:tblCellMar>
      </w:tblPr>
      <w:tblGrid>
        <w:gridCol w:w="898"/>
        <w:gridCol w:w="3991"/>
      </w:tblGrid>
      <w:t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2.02</w:t>
            </w:r>
          </w:p>
        </w:tc>
        <w:tc>
          <w:tcPr>
            <w:tcW w:w="3991"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Results of Operations and Financial Condition.</w:t>
            </w:r>
          </w:p>
        </w:tc>
      </w:tr>
    </w:tbl>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both"/>
        <w:rPr>
          <w:rFonts w:ascii="Times New Roman;Times;serif" w:hAnsi="Times New Roman;Times;serif"/>
          <w:spacing w:val="-3"/>
          <w:sz w:val="20"/>
        </w:rPr>
      </w:pPr>
      <w:r>
        <w:rPr>
          <w:rFonts w:ascii="Times New Roman;Times;serif" w:hAnsi="Times New Roman;Times;serif"/>
          <w:spacing w:val="-3"/>
          <w:sz w:val="20"/>
        </w:rPr>
        <w:t>The registrant hereby furnishes the information set forth in its press release entitled “Valhi Reports Third Quarter 2026 Results” that the registrant issued on November 5, 2026, a copy of which is attached hereto as Exhibit 99.1 and incorporated herein by reference.</w:t>
      </w:r>
    </w:p>
    <w:p>
      <w:pPr>
        <w:pStyle w:val="TextBody"/>
        <w:bidi w:val="0"/>
        <w:spacing w:before="0" w:after="0"/>
        <w:ind w:left="0" w:right="0" w:firstLine="720"/>
        <w:jc w:val="left"/>
        <w:rPr>
          <w:spacing w:val="-3"/>
        </w:rPr>
      </w:pPr>
      <w:r>
        <w:rPr>
          <w:spacing w:val="-3"/>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press release the registrant furnishes as Exhibit 99.1 to this current report is not </w:t>
      </w:r>
      <w:r>
        <w:rPr>
          <w:rFonts w:ascii="Times New Roman;Times;serif" w:hAnsi="Times New Roman;Times;serif"/>
          <w:spacing w:val="-3"/>
          <w:sz w:val="20"/>
        </w:rPr>
        <w:t>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pStyle w:val="TextBody"/>
        <w:pBdr/>
        <w:bidi w:val="0"/>
        <w:spacing w:before="0" w:after="0"/>
        <w:ind w:left="0" w:right="0" w:hanging="1440"/>
        <w:jc w:val="left"/>
      </w:pPr>
      <w:r>
        <w:t>​</w:t>
      </w:r>
    </w:p>
    <w:p>
      <w:pPr>
        <w:pStyle w:val="TextBody"/>
        <w:pBdr/>
        <w:bidi w:val="0"/>
        <w:spacing w:before="0" w:after="0"/>
        <w:ind w:left="0" w:right="0" w:hanging="1620"/>
        <w:jc w:val="left"/>
      </w:pPr>
      <w:r>
        <w:t>​</w:t>
      </w:r>
    </w:p>
    <w:p>
      <w:pPr>
        <w:pStyle w:val="TextBody"/>
        <w:pBdr/>
        <w:bidi w:val="0"/>
        <w:spacing w:before="0" w:after="0"/>
        <w:ind w:left="0" w:right="0" w:hanging="1620"/>
        <w:jc w:val="left"/>
      </w:pPr>
      <w:r>
        <w:t>​</w:t>
      </w:r>
    </w:p>
    <w:p>
      <w:pPr>
        <w:pStyle w:val="TextBody"/>
        <w:pBdr/>
        <w:bidi w:val="0"/>
        <w:spacing w:before="0" w:after="0"/>
        <w:ind w:left="0" w:right="0" w:hanging="1440"/>
        <w:jc w:val="left"/>
      </w:pPr>
      <w:r>
        <w:t>​</w:t>
      </w:r>
    </w:p>
    <w:p>
      <w:pPr>
        <w:pStyle w:val="TextBody"/>
        <w:pBdr/>
        <w:bidi w:val="0"/>
        <w:spacing w:before="0" w:after="0"/>
        <w:ind w:left="0" w:right="0" w:hanging="1620"/>
        <w:jc w:val="left"/>
      </w:pPr>
      <w:r>
        <w:t>​</w:t>
      </w:r>
    </w:p>
    <w:p>
      <w:pPr>
        <w:pStyle w:val="TextBody"/>
        <w:pBdr/>
        <w:bidi w:val="0"/>
        <w:spacing w:before="0" w:after="0"/>
        <w:ind w:left="0" w:right="0" w:hanging="1627"/>
        <w:jc w:val="left"/>
      </w:pPr>
      <w:r>
        <w:t>​</w:t>
      </w:r>
    </w:p>
    <w:p>
      <w:pPr>
        <w:pStyle w:val="TextBody"/>
        <w:pBdr/>
        <w:bidi w:val="0"/>
        <w:spacing w:before="0" w:after="0"/>
        <w:ind w:left="0" w:right="0" w:hanging="1620"/>
        <w:jc w:val="left"/>
      </w:pPr>
      <w:r>
        <w:t>​</w:t>
      </w:r>
    </w:p>
    <w:p>
      <w:pPr>
        <w:pStyle w:val="TextBody"/>
        <w:pBdr/>
        <w:bidi w:val="0"/>
        <w:spacing w:before="0" w:after="0"/>
        <w:ind w:left="0" w:right="0" w:hanging="1440"/>
        <w:jc w:val="left"/>
      </w:pPr>
      <w:r>
        <w:t>​</w:t>
      </w:r>
    </w:p>
    <w:p>
      <w:pPr>
        <w:pStyle w:val="TextBody"/>
        <w:pBdr/>
        <w:bidi w:val="0"/>
        <w:spacing w:lineRule="auto" w:line="57" w:before="0" w:after="0"/>
        <w:ind w:left="0" w:right="0" w:hanging="1440"/>
        <w:jc w:val="left"/>
      </w:pPr>
      <w:bookmarkStart w:id="39" w:name="_ab5ddaba_537a_44ee_8bad_31ea6250d800"/>
      <w:bookmarkEnd w:id="39"/>
      <w:r>
        <w:t>​</w:t>
      </w:r>
    </w:p>
    <w:p>
      <w:pPr>
        <w:pStyle w:val="TextBody"/>
        <w:bidi w:val="0"/>
        <w:spacing w:lineRule="auto" w:line="228" w:before="0" w:after="0"/>
        <w:ind w:left="0" w:right="0" w:hanging="0"/>
        <w:jc w:val="left"/>
      </w:pPr>
      <w:r>
        <w:t>​</w:t>
      </w:r>
    </w:p>
    <w:tbl>
      <w:tblPr>
        <w:tblW w:w="3152" w:type="dxa"/>
        <w:jc w:val="left"/>
        <w:tblInd w:w="0" w:type="dxa"/>
        <w:tblLayout w:type="fixed"/>
        <w:tblCellMar>
          <w:top w:w="0" w:type="dxa"/>
          <w:left w:w="0" w:type="dxa"/>
          <w:bottom w:w="0" w:type="dxa"/>
          <w:right w:w="0" w:type="dxa"/>
        </w:tblCellMar>
      </w:tblPr>
      <w:tblGrid>
        <w:gridCol w:w="898"/>
        <w:gridCol w:w="2254"/>
      </w:tblGrid>
      <w:t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7.01</w:t>
            </w:r>
          </w:p>
        </w:tc>
        <w:tc>
          <w:tcPr>
            <w:tcW w:w="2254"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Regulation FD Disclosure</w:t>
            </w:r>
          </w:p>
        </w:tc>
      </w:tr>
    </w:tbl>
    <w:p>
      <w:pPr>
        <w:pStyle w:val="TextBody"/>
        <w:bidi w:val="0"/>
        <w:spacing w:before="0" w:after="0"/>
        <w:ind w:left="0" w:right="0" w:hanging="0"/>
        <w:jc w:val="left"/>
      </w:pPr>
      <w: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pacing w:val="-3"/>
          <w:sz w:val="20"/>
        </w:rPr>
        <w:t>The registrant hereby furnishes the information set forth in its press release entitled “Valhi</w:t>
      </w:r>
      <w:r>
        <w:rPr>
          <w:rFonts w:ascii="Times New Roman;Times;serif" w:hAnsi="Times New Roman;Times;serif"/>
          <w:sz w:val="20"/>
        </w:rPr>
        <w:t> Declares Quarterly Dividend</w:t>
      </w:r>
      <w:r>
        <w:rPr>
          <w:rFonts w:ascii="Times New Roman;Times;serif" w:hAnsi="Times New Roman;Times;serif"/>
          <w:spacing w:val="-3"/>
          <w:sz w:val="20"/>
        </w:rPr>
        <w:t>” that the registrant also </w:t>
      </w:r>
      <w:r>
        <w:rPr>
          <w:rFonts w:ascii="Times New Roman;Times;serif" w:hAnsi="Times New Roman;Times;serif"/>
          <w:sz w:val="20"/>
        </w:rPr>
        <w:t>issued on November 5, 2026, a copy of which is attached hereto as Exhibit 99.2 and incorporated herein by reference.</w:t>
      </w:r>
    </w:p>
    <w:p>
      <w:pPr>
        <w:pStyle w:val="TextBody"/>
        <w:bidi w:val="0"/>
        <w:spacing w:before="0" w:after="0"/>
        <w:ind w:left="0" w:right="0" w:firstLine="720"/>
        <w:jc w:val="both"/>
      </w:pPr>
      <w: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press release the registrant furnishes as Exhibit 99.2 to this current report is not “filed” for purposes of section 18 of the Securities Exchange Act of 1934, as amended, or otherwise subject to the liabilities of that section.  Registration statements or other documents filed with the </w:t>
      </w:r>
      <w:r>
        <w:rPr>
          <w:rFonts w:ascii="Times New Roman;Times;serif" w:hAnsi="Times New Roman;Times;serif"/>
          <w:spacing w:val="-3"/>
          <w:sz w:val="20"/>
        </w:rPr>
        <w:t>U.S. </w:t>
      </w:r>
      <w:r>
        <w:rPr>
          <w:rFonts w:ascii="Times New Roman;Times;serif" w:hAnsi="Times New Roman;Times;serif"/>
          <w:sz w:val="20"/>
        </w:rPr>
        <w:t>Securities and Exchange Commission shall not incorporate this information by reference, except as otherwise expressly stated in such filing.</w:t>
      </w:r>
    </w:p>
    <w:p>
      <w:pPr>
        <w:pStyle w:val="TextBody"/>
        <w:pBdr/>
        <w:bidi w:val="0"/>
        <w:spacing w:before="0" w:after="0"/>
        <w:ind w:left="0" w:right="0" w:hanging="1440"/>
        <w:jc w:val="left"/>
      </w:pPr>
      <w:r>
        <w:t>​</w:t>
      </w:r>
    </w:p>
    <w:p>
      <w:pPr>
        <w:pStyle w:val="Normal"/>
        <w:bidi w:val="0"/>
        <w:spacing w:before="0" w:after="0"/>
        <w:jc w:val="left"/>
        <w:rPr>
          <w:sz w:val="4"/>
          <w:szCs w:val="4"/>
        </w:rPr>
      </w:pPr>
      <w:r>
        <w:rPr>
          <w:sz w:val="4"/>
          <w:szCs w:val="4"/>
        </w:rPr>
      </w:r>
      <w:bookmarkStart w:id="40" w:name="_74b9342f_fe85_4e79_8534_04798a3c5a30"/>
      <w:bookmarkStart w:id="41" w:name="_74b9342f_fe85_4e79_8534_04798a3c5a30"/>
      <w:bookmarkEnd w:id="41"/>
    </w:p>
    <w:tbl>
      <w:tblPr>
        <w:tblW w:w="3893" w:type="dxa"/>
        <w:jc w:val="left"/>
        <w:tblInd w:w="0" w:type="dxa"/>
        <w:tblLayout w:type="fixed"/>
        <w:tblCellMar>
          <w:top w:w="0" w:type="dxa"/>
          <w:left w:w="0" w:type="dxa"/>
          <w:bottom w:w="0" w:type="dxa"/>
          <w:right w:w="0" w:type="dxa"/>
        </w:tblCellMar>
      </w:tblPr>
      <w:tblGrid>
        <w:gridCol w:w="898"/>
        <w:gridCol w:w="2995"/>
      </w:tblGrid>
      <w:t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9.01</w:t>
            </w:r>
          </w:p>
        </w:tc>
        <w:tc>
          <w:tcPr>
            <w:tcW w:w="2995"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Financial Statements and Exhibits.</w:t>
            </w:r>
          </w:p>
        </w:tc>
      </w:tr>
    </w:tbl>
    <w:p>
      <w:pPr>
        <w:pStyle w:val="TextBody"/>
        <w:pBdr/>
        <w:bidi w:val="0"/>
        <w:spacing w:before="0" w:after="0"/>
        <w:ind w:left="0" w:right="0" w:hanging="1620"/>
        <w:jc w:val="left"/>
        <w:rPr>
          <w:spacing w:val="-3"/>
        </w:rPr>
      </w:pPr>
      <w:r>
        <w:rPr>
          <w:spacing w:val="-3"/>
        </w:rPr>
        <w:t>​</w:t>
      </w:r>
    </w:p>
    <w:tbl>
      <w:tblPr>
        <w:tblW w:w="10205" w:type="dxa"/>
        <w:jc w:val="left"/>
        <w:tblInd w:w="0" w:type="dxa"/>
        <w:tblLayout w:type="fixed"/>
        <w:tblCellMar>
          <w:top w:w="0" w:type="dxa"/>
          <w:left w:w="0" w:type="dxa"/>
          <w:bottom w:w="0" w:type="dxa"/>
          <w:right w:w="0" w:type="dxa"/>
        </w:tblCellMar>
      </w:tblPr>
      <w:tblGrid>
        <w:gridCol w:w="338"/>
        <w:gridCol w:w="808"/>
        <w:gridCol w:w="109"/>
        <w:gridCol w:w="8950"/>
      </w:tblGrid>
      <w:tr>
        <w:tc>
          <w:tcPr>
            <w:tcW w:w="3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808"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pPr>
            <w:r>
              <w:t>​</w:t>
            </w:r>
          </w:p>
        </w:tc>
        <w:tc>
          <w:tcPr>
            <w:tcW w:w="8950" w:type="dxa"/>
            <w:tcBorders/>
            <w:vAlign w:val="center"/>
          </w:tcPr>
          <w:p>
            <w:pPr>
              <w:pStyle w:val="TableContents"/>
              <w:bidi w:val="0"/>
              <w:spacing w:before="0" w:after="0"/>
              <w:ind w:left="0" w:right="0" w:hanging="0"/>
              <w:jc w:val="left"/>
            </w:pPr>
            <w:r>
              <w:t>​</w:t>
            </w:r>
          </w:p>
        </w:tc>
      </w:tr>
      <w:tr>
        <w:tc>
          <w:tcPr>
            <w:tcW w:w="338"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(d)</w:t>
            </w:r>
          </w:p>
        </w:tc>
        <w:tc>
          <w:tcPr>
            <w:tcW w:w="808"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Exhibits</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0" w:type="dxa"/>
            <w:tcBorders/>
            <w:vAlign w:val="center"/>
          </w:tcPr>
          <w:p>
            <w:pPr>
              <w:pStyle w:val="TableContents"/>
              <w:bidi w:val="0"/>
              <w:spacing w:before="0" w:after="0"/>
              <w:ind w:left="0" w:right="0" w:hanging="0"/>
              <w:jc w:val="left"/>
              <w:rPr>
                <w:spacing w:val="-3"/>
              </w:rPr>
            </w:pPr>
            <w:r>
              <w:rPr>
                <w:spacing w:val="-3"/>
              </w:rPr>
              <w:t>​</w:t>
            </w:r>
          </w:p>
        </w:tc>
      </w:tr>
      <w:tr>
        <w:tc>
          <w:tcPr>
            <w:tcW w:w="338" w:type="dxa"/>
            <w:tcBorders/>
            <w:vAlign w:val="center"/>
          </w:tcPr>
          <w:p>
            <w:pPr>
              <w:pStyle w:val="TableContents"/>
              <w:bidi w:val="0"/>
              <w:spacing w:before="0" w:after="0"/>
              <w:ind w:left="0" w:right="0" w:hanging="0"/>
              <w:jc w:val="left"/>
              <w:rPr>
                <w:spacing w:val="-3"/>
              </w:rPr>
            </w:pPr>
            <w:r>
              <w:rPr>
                <w:spacing w:val="-3"/>
              </w:rPr>
              <w:t>​</w:t>
            </w:r>
          </w:p>
        </w:tc>
        <w:tc>
          <w:tcPr>
            <w:tcW w:w="808"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0" w:type="dxa"/>
            <w:tcBorders/>
            <w:vAlign w:val="center"/>
          </w:tcPr>
          <w:p>
            <w:pPr>
              <w:pStyle w:val="TableContents"/>
              <w:bidi w:val="0"/>
              <w:spacing w:before="0" w:after="0"/>
              <w:ind w:left="0" w:right="0" w:hanging="0"/>
              <w:jc w:val="left"/>
              <w:rPr>
                <w:spacing w:val="-3"/>
              </w:rPr>
            </w:pPr>
            <w:r>
              <w:rPr>
                <w:spacing w:val="-3"/>
              </w:rPr>
              <w:t>​</w:t>
            </w:r>
          </w:p>
        </w:tc>
      </w:tr>
      <w:tr>
        <w:tc>
          <w:tcPr>
            <w:tcW w:w="338" w:type="dxa"/>
            <w:tcBorders/>
            <w:vAlign w:val="center"/>
          </w:tcPr>
          <w:p>
            <w:pPr>
              <w:pStyle w:val="TableContents"/>
              <w:bidi w:val="0"/>
              <w:spacing w:before="0" w:after="0"/>
              <w:ind w:left="0" w:right="0" w:hanging="0"/>
              <w:jc w:val="center"/>
              <w:rPr>
                <w:spacing w:val="-3"/>
              </w:rPr>
            </w:pPr>
            <w:r>
              <w:rPr>
                <w:spacing w:val="-3"/>
              </w:rPr>
              <w:t>​</w:t>
            </w:r>
          </w:p>
        </w:tc>
        <w:tc>
          <w:tcPr>
            <w:tcW w:w="808"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Item No.</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0"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Description</w:t>
            </w:r>
          </w:p>
        </w:tc>
      </w:tr>
      <w:tr>
        <w:tc>
          <w:tcPr>
            <w:tcW w:w="338" w:type="dxa"/>
            <w:tcBorders/>
            <w:vAlign w:val="center"/>
          </w:tcPr>
          <w:p>
            <w:pPr>
              <w:pStyle w:val="TableContents"/>
              <w:bidi w:val="0"/>
              <w:spacing w:before="0" w:after="0"/>
              <w:ind w:left="0" w:right="0" w:hanging="0"/>
              <w:jc w:val="left"/>
              <w:rPr>
                <w:spacing w:val="-3"/>
              </w:rPr>
            </w:pPr>
            <w:r>
              <w:rPr>
                <w:spacing w:val="-3"/>
              </w:rPr>
              <w:t>​</w:t>
            </w:r>
          </w:p>
        </w:tc>
        <w:tc>
          <w:tcPr>
            <w:tcW w:w="808"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0" w:type="dxa"/>
            <w:tcBorders/>
            <w:vAlign w:val="center"/>
          </w:tcPr>
          <w:p>
            <w:pPr>
              <w:pStyle w:val="TableContents"/>
              <w:bidi w:val="0"/>
              <w:spacing w:before="0" w:after="0"/>
              <w:ind w:left="0" w:right="0" w:hanging="0"/>
              <w:jc w:val="left"/>
              <w:rPr>
                <w:spacing w:val="-3"/>
              </w:rPr>
            </w:pPr>
            <w:r>
              <w:rPr>
                <w:spacing w:val="-3"/>
              </w:rPr>
              <w:t>​</w:t>
            </w:r>
          </w:p>
        </w:tc>
      </w:tr>
      <w:tr>
        <w:tc>
          <w:tcPr>
            <w:tcW w:w="338" w:type="dxa"/>
            <w:tcBorders/>
            <w:vAlign w:val="center"/>
          </w:tcPr>
          <w:p>
            <w:pPr>
              <w:pStyle w:val="TableContents"/>
              <w:bidi w:val="0"/>
              <w:spacing w:before="0" w:after="0"/>
              <w:ind w:left="0" w:right="0" w:hanging="0"/>
              <w:jc w:val="left"/>
              <w:rPr>
                <w:spacing w:val="-3"/>
              </w:rPr>
            </w:pPr>
            <w:r>
              <w:rPr>
                <w:spacing w:val="-3"/>
              </w:rPr>
              <w:t>​</w:t>
            </w:r>
          </w:p>
        </w:tc>
        <w:tc>
          <w:tcPr>
            <w:tcW w:w="808"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99.1</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0" w:type="dxa"/>
            <w:tcBorders/>
            <w:vAlign w:val="center"/>
          </w:tcPr>
          <w:p>
            <w:pPr>
              <w:pStyle w:val="TableContents"/>
              <w:bidi w:val="0"/>
              <w:spacing w:before="0" w:after="0"/>
              <w:ind w:left="0" w:right="0" w:hanging="0"/>
              <w:jc w:val="left"/>
            </w:pPr>
            <w:hyperlink w:anchor="vhl-ex99d1.htm">
              <w:r>
                <w:rPr>
                  <w:rStyle w:val="InternetLink"/>
                  <w:rFonts w:ascii="Times New Roman;Times;serif" w:hAnsi="Times New Roman;Times;serif"/>
                  <w:b w:val="false"/>
                  <w:i w:val="false"/>
                  <w:caps w:val="false"/>
                  <w:smallCaps w:val="false"/>
                  <w:sz w:val="20"/>
                </w:rPr>
                <w:t xml:space="preserve">Press release dated November 5, 2026 </w:t>
              </w:r>
            </w:hyperlink>
            <w:hyperlink w:anchor="vhl-ex99d1.htm">
              <w:r>
                <w:rPr>
                  <w:rStyle w:val="InternetLink"/>
                  <w:rFonts w:ascii="Times New Roman;Times;serif" w:hAnsi="Times New Roman;Times;serif"/>
                  <w:b w:val="false"/>
                  <w:i w:val="false"/>
                  <w:caps w:val="false"/>
                  <w:smallCaps w:val="false"/>
                  <w:spacing w:val="-3"/>
                  <w:sz w:val="20"/>
                </w:rPr>
                <w:t xml:space="preserve">entitled “Valhi Reports Third Quarter 2026 Results” and </w:t>
              </w:r>
            </w:hyperlink>
            <w:hyperlink w:anchor="vhl-ex99d1.htm">
              <w:r>
                <w:rPr>
                  <w:rStyle w:val="InternetLink"/>
                  <w:rFonts w:ascii="Times New Roman;Times;serif" w:hAnsi="Times New Roman;Times;serif"/>
                  <w:b w:val="false"/>
                  <w:i w:val="false"/>
                  <w:caps w:val="false"/>
                  <w:smallCaps w:val="false"/>
                  <w:sz w:val="20"/>
                </w:rPr>
                <w:t>issued by the registrant.</w:t>
              </w:r>
            </w:hyperlink>
          </w:p>
        </w:tc>
      </w:tr>
      <w:tr>
        <w:tc>
          <w:tcPr>
            <w:tcW w:w="338" w:type="dxa"/>
            <w:tcBorders/>
            <w:vAlign w:val="center"/>
          </w:tcPr>
          <w:p>
            <w:pPr>
              <w:pStyle w:val="TableContents"/>
              <w:bidi w:val="0"/>
              <w:spacing w:before="0" w:after="0"/>
              <w:ind w:left="0" w:right="0" w:hanging="0"/>
              <w:jc w:val="left"/>
              <w:rPr>
                <w:spacing w:val="-3"/>
              </w:rPr>
            </w:pPr>
            <w:r>
              <w:rPr>
                <w:spacing w:val="-3"/>
              </w:rPr>
              <w:t>​</w:t>
            </w:r>
          </w:p>
        </w:tc>
        <w:tc>
          <w:tcPr>
            <w:tcW w:w="808"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0" w:type="dxa"/>
            <w:tcBorders/>
            <w:vAlign w:val="center"/>
          </w:tcPr>
          <w:p>
            <w:pPr>
              <w:pStyle w:val="TableContents"/>
              <w:bidi w:val="0"/>
              <w:spacing w:before="0" w:after="0"/>
              <w:ind w:left="0" w:right="0" w:hanging="0"/>
              <w:jc w:val="left"/>
              <w:rPr>
                <w:spacing w:val="-3"/>
              </w:rPr>
            </w:pPr>
            <w:r>
              <w:rPr>
                <w:spacing w:val="-3"/>
              </w:rPr>
              <w:t>​</w:t>
            </w:r>
          </w:p>
        </w:tc>
      </w:tr>
      <w:tr>
        <w:tc>
          <w:tcPr>
            <w:tcW w:w="338" w:type="dxa"/>
            <w:tcBorders/>
            <w:vAlign w:val="center"/>
          </w:tcPr>
          <w:p>
            <w:pPr>
              <w:pStyle w:val="TableContents"/>
              <w:bidi w:val="0"/>
              <w:spacing w:before="0" w:after="0"/>
              <w:ind w:left="0" w:right="0" w:hanging="0"/>
              <w:jc w:val="left"/>
              <w:rPr>
                <w:spacing w:val="-3"/>
              </w:rPr>
            </w:pPr>
            <w:r>
              <w:rPr>
                <w:spacing w:val="-3"/>
              </w:rPr>
              <w:t>​</w:t>
            </w:r>
          </w:p>
        </w:tc>
        <w:tc>
          <w:tcPr>
            <w:tcW w:w="808"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99.2</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0" w:type="dxa"/>
            <w:tcBorders/>
            <w:vAlign w:val="center"/>
          </w:tcPr>
          <w:p>
            <w:pPr>
              <w:pStyle w:val="TableContents"/>
              <w:bidi w:val="0"/>
              <w:spacing w:before="0" w:after="0"/>
              <w:ind w:left="0" w:right="0" w:hanging="0"/>
              <w:jc w:val="left"/>
            </w:pPr>
            <w:hyperlink w:anchor="vhl-ex99d2.htm">
              <w:r>
                <w:rPr>
                  <w:rStyle w:val="InternetLink"/>
                  <w:rFonts w:ascii="Times New Roman;Times;serif" w:hAnsi="Times New Roman;Times;serif"/>
                  <w:b w:val="false"/>
                  <w:i w:val="false"/>
                  <w:caps w:val="false"/>
                  <w:smallCaps w:val="false"/>
                  <w:spacing w:val="-3"/>
                  <w:sz w:val="20"/>
                </w:rPr>
                <w:t>Press release dated November 5, 2026 entitled “Valhi Declares Quarterly Dividend” and issued by the registrant.</w:t>
              </w:r>
            </w:hyperlink>
          </w:p>
        </w:tc>
      </w:tr>
      <w:tr>
        <w:tc>
          <w:tcPr>
            <w:tcW w:w="338" w:type="dxa"/>
            <w:tcBorders/>
            <w:vAlign w:val="center"/>
          </w:tcPr>
          <w:p>
            <w:pPr>
              <w:pStyle w:val="TableContents"/>
              <w:bidi w:val="0"/>
              <w:spacing w:before="0" w:after="0"/>
              <w:ind w:left="0" w:right="0" w:hanging="0"/>
              <w:jc w:val="left"/>
              <w:rPr>
                <w:spacing w:val="-3"/>
              </w:rPr>
            </w:pPr>
            <w:r>
              <w:rPr>
                <w:spacing w:val="-3"/>
              </w:rPr>
              <w:t>​</w:t>
            </w:r>
          </w:p>
        </w:tc>
        <w:tc>
          <w:tcPr>
            <w:tcW w:w="808"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0" w:type="dxa"/>
            <w:tcBorders/>
            <w:vAlign w:val="center"/>
          </w:tcPr>
          <w:p>
            <w:pPr>
              <w:pStyle w:val="TableContents"/>
              <w:bidi w:val="0"/>
              <w:spacing w:before="0" w:after="0"/>
              <w:ind w:left="0" w:right="0" w:hanging="0"/>
              <w:jc w:val="left"/>
              <w:rPr>
                <w:spacing w:val="-3"/>
              </w:rPr>
            </w:pPr>
            <w:r>
              <w:rPr>
                <w:spacing w:val="-3"/>
              </w:rPr>
              <w:t>​</w:t>
            </w:r>
          </w:p>
        </w:tc>
      </w:tr>
      <w:tr>
        <w:tc>
          <w:tcPr>
            <w:tcW w:w="338" w:type="dxa"/>
            <w:tcBorders/>
            <w:vAlign w:val="center"/>
          </w:tcPr>
          <w:p>
            <w:pPr>
              <w:pStyle w:val="TableContents"/>
              <w:bidi w:val="0"/>
              <w:spacing w:before="0" w:after="0"/>
              <w:ind w:left="0" w:right="0" w:hanging="0"/>
              <w:jc w:val="left"/>
              <w:rPr>
                <w:spacing w:val="-3"/>
              </w:rPr>
            </w:pPr>
            <w:r>
              <w:rPr>
                <w:spacing w:val="-3"/>
              </w:rPr>
              <w:t>​</w:t>
            </w:r>
          </w:p>
        </w:tc>
        <w:tc>
          <w:tcPr>
            <w:tcW w:w="808"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104</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pPr>
      <w:r>
        <w:t>​</w:t>
      </w:r>
    </w:p>
    <w:p>
      <w:pPr>
        <w:pStyle w:val="TextBody"/>
        <w:bidi w:val="0"/>
        <w:spacing w:before="0" w:after="240"/>
        <w:ind w:left="0" w:right="0" w:hanging="0"/>
        <w:jc w:val="left"/>
      </w:pPr>
      <w:r>
        <w:t>​</w:t>
      </w:r>
    </w:p>
    <w:p>
      <w:pPr>
        <w:pStyle w:val="TextBody"/>
        <w:bidi w:val="0"/>
        <w:spacing w:before="0" w:after="0"/>
        <w:ind w:left="0" w:right="0" w:hanging="0"/>
        <w:jc w:val="left"/>
      </w:pPr>
      <w:r>
        <w:t>​</w:t>
      </w:r>
    </w:p>
    <w:p>
      <w:pPr>
        <w:pStyle w:val="TextBody"/>
        <w:bidi w:val="0"/>
        <w:spacing w:before="0" w:after="240"/>
        <w:ind w:left="0" w:right="0" w:hanging="0"/>
        <w:jc w:val="left"/>
      </w:pPr>
      <w:r>
        <w:t>​</w:t>
      </w:r>
    </w:p>
    <w:p>
      <w:pPr>
        <w:pStyle w:val="TextBody"/>
        <w:bidi w:val="0"/>
        <w:spacing w:before="0" w:after="0"/>
        <w:ind w:left="0" w:right="0" w:hanging="0"/>
        <w:jc w:val="center"/>
        <w:rPr>
          <w:rFonts w:ascii="Times New Roman;Times;serif" w:hAnsi="Times New Roman;Times;serif"/>
          <w:b/>
          <w:spacing w:val="-3"/>
          <w:sz w:val="20"/>
        </w:rPr>
      </w:pPr>
      <w:bookmarkStart w:id="42" w:name="_9293fcf5_ad45_49a4_927c_f77d38e3f407"/>
      <w:bookmarkEnd w:id="42"/>
      <w:r>
        <w:rPr>
          <w:rFonts w:ascii="Times New Roman;Times;serif" w:hAnsi="Times New Roman;Times;serif"/>
          <w:b/>
          <w:spacing w:val="-3"/>
          <w:sz w:val="20"/>
        </w:rPr>
        <w:t>SIGNATURE</w:t>
      </w:r>
    </w:p>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left"/>
        <w:rPr>
          <w:rFonts w:ascii="Times New Roman;Times;serif" w:hAnsi="Times New Roman;Times;serif"/>
          <w:spacing w:val="-3"/>
          <w:sz w:val="20"/>
        </w:rPr>
      </w:pPr>
      <w:r>
        <w:rPr>
          <w:rFonts w:ascii="Times New Roman;Times;serif" w:hAnsi="Times New Roman;Times;serif"/>
          <w:spacing w:val="-3"/>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spacing w:val="-3"/>
        </w:rPr>
      </w:pPr>
      <w:r>
        <w:rPr>
          <w:spacing w:val="-3"/>
        </w:rPr>
        <w:t>​</w:t>
      </w:r>
    </w:p>
    <w:tbl>
      <w:tblPr>
        <w:tblW w:w="4574" w:type="dxa"/>
        <w:jc w:val="left"/>
        <w:tblInd w:w="0" w:type="dxa"/>
        <w:tblLayout w:type="fixed"/>
        <w:tblCellMar>
          <w:top w:w="0" w:type="dxa"/>
          <w:left w:w="0" w:type="dxa"/>
          <w:bottom w:w="0" w:type="dxa"/>
          <w:right w:w="0" w:type="dxa"/>
        </w:tblCellMar>
      </w:tblPr>
      <w:tblGrid>
        <w:gridCol w:w="2056"/>
        <w:gridCol w:w="2518"/>
      </w:tblGrid>
      <w:tr>
        <w:tc>
          <w:tcPr>
            <w:tcW w:w="2056"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3</w:t>
            </w:r>
          </w:p>
        </w:tc>
        <w:tc>
          <w:tcPr>
            <w:tcW w:w="2518" w:type="dxa"/>
            <w:tcBorders/>
            <w:vAlign w:val="center"/>
          </w:tcPr>
          <w:p>
            <w:pPr>
              <w:pStyle w:val="TableContents"/>
              <w:bidi w:val="0"/>
              <w:spacing w:before="0" w:after="283"/>
              <w:ind w:left="0" w:right="0" w:hanging="0"/>
              <w:jc w:val="left"/>
              <w:rPr>
                <w:sz w:val="4"/>
                <w:szCs w:val="4"/>
              </w:rPr>
            </w:pPr>
            <w:r>
              <w:rPr>
                <w:sz w:val="4"/>
                <w:szCs w:val="4"/>
              </w:rPr>
            </w:r>
          </w:p>
        </w:tc>
      </w:tr>
      <w:tr>
        <w:tc>
          <w:tcPr>
            <w:tcW w:w="2056" w:type="dxa"/>
            <w:tcBorders/>
            <w:vAlign w:val="center"/>
          </w:tcPr>
          <w:p>
            <w:pPr>
              <w:pStyle w:val="TableContents"/>
              <w:bidi w:val="0"/>
              <w:spacing w:before="0" w:after="0"/>
              <w:ind w:left="0" w:right="0" w:hanging="0"/>
              <w:jc w:val="left"/>
              <w:rPr>
                <w:smallCaps/>
                <w:spacing w:val="-3"/>
              </w:rPr>
            </w:pPr>
            <w:r>
              <w:rPr>
                <w:smallCaps/>
                <w:spacing w:val="-3"/>
              </w:rPr>
              <w:t>​</w:t>
            </w:r>
          </w:p>
        </w:tc>
        <w:tc>
          <w:tcPr>
            <w:tcW w:w="2518" w:type="dxa"/>
            <w:tcBorders/>
            <w:vAlign w:val="center"/>
          </w:tcPr>
          <w:p>
            <w:pPr>
              <w:pStyle w:val="TableContents"/>
              <w:bidi w:val="0"/>
              <w:spacing w:before="0" w:after="0"/>
              <w:ind w:left="0" w:right="0" w:hanging="0"/>
              <w:jc w:val="left"/>
              <w:rPr>
                <w:rFonts w:ascii="Times New Roman Bold" w:hAnsi="Times New Roman Bold"/>
                <w:b/>
                <w:smallCaps/>
                <w:spacing w:val="-3"/>
                <w:sz w:val="20"/>
              </w:rPr>
            </w:pPr>
            <w:r>
              <w:rPr>
                <w:rFonts w:ascii="Times New Roman Bold" w:hAnsi="Times New Roman Bold"/>
                <w:b/>
                <w:smallCaps/>
                <w:spacing w:val="-3"/>
                <w:sz w:val="20"/>
              </w:rPr>
              <w:t>Valhi, Inc.</w:t>
            </w:r>
          </w:p>
        </w:tc>
      </w:tr>
      <w:tr>
        <w:tc>
          <w:tcPr>
            <w:tcW w:w="2056" w:type="dxa"/>
            <w:tcBorders/>
            <w:vAlign w:val="center"/>
          </w:tcPr>
          <w:p>
            <w:pPr>
              <w:pStyle w:val="TableContents"/>
              <w:bidi w:val="0"/>
              <w:spacing w:before="0" w:after="0"/>
              <w:ind w:left="0" w:right="0" w:hanging="0"/>
              <w:jc w:val="left"/>
              <w:rPr>
                <w:spacing w:val="-3"/>
              </w:rPr>
            </w:pPr>
            <w:r>
              <w:rPr>
                <w:spacing w:val="-3"/>
              </w:rPr>
              <w:t>​</w:t>
            </w:r>
          </w:p>
        </w:tc>
        <w:tc>
          <w:tcPr>
            <w:tcW w:w="2518"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(Registrant)</w:t>
            </w:r>
          </w:p>
        </w:tc>
      </w:tr>
      <w:tr>
        <w:tc>
          <w:tcPr>
            <w:tcW w:w="2056" w:type="dxa"/>
            <w:tcBorders/>
            <w:vAlign w:val="center"/>
          </w:tcPr>
          <w:p>
            <w:pPr>
              <w:pStyle w:val="TableContents"/>
              <w:bidi w:val="0"/>
              <w:spacing w:before="0" w:after="0"/>
              <w:ind w:left="0" w:right="0" w:hanging="0"/>
              <w:jc w:val="left"/>
              <w:rPr>
                <w:spacing w:val="-3"/>
              </w:rPr>
            </w:pPr>
            <w:r>
              <w:rPr>
                <w:spacing w:val="-3"/>
              </w:rPr>
              <w:t>​</w:t>
            </w:r>
          </w:p>
        </w:tc>
        <w:tc>
          <w:tcPr>
            <w:tcW w:w="2518" w:type="dxa"/>
            <w:tcBorders/>
            <w:vAlign w:val="center"/>
          </w:tcPr>
          <w:p>
            <w:pPr>
              <w:pStyle w:val="TableContents"/>
              <w:bidi w:val="0"/>
              <w:spacing w:before="0" w:after="0"/>
              <w:ind w:left="0" w:right="0" w:hanging="0"/>
              <w:jc w:val="left"/>
              <w:rPr>
                <w:spacing w:val="-3"/>
              </w:rPr>
            </w:pPr>
            <w:r>
              <w:rPr>
                <w:spacing w:val="-3"/>
              </w:rPr>
              <w:t>​</w:t>
            </w:r>
          </w:p>
        </w:tc>
      </w:tr>
      <w:tr>
        <w:tc>
          <w:tcPr>
            <w:tcW w:w="2056" w:type="dxa"/>
            <w:tcBorders/>
            <w:vAlign w:val="center"/>
          </w:tcPr>
          <w:p>
            <w:pPr>
              <w:pStyle w:val="TableContents"/>
              <w:bidi w:val="0"/>
              <w:spacing w:before="0" w:after="0"/>
              <w:ind w:left="0" w:right="0" w:hanging="0"/>
              <w:jc w:val="left"/>
              <w:rPr>
                <w:spacing w:val="-3"/>
              </w:rPr>
            </w:pPr>
            <w:r>
              <w:rPr>
                <w:spacing w:val="-3"/>
              </w:rPr>
              <w:t>​</w:t>
            </w:r>
          </w:p>
        </w:tc>
        <w:tc>
          <w:tcPr>
            <w:tcW w:w="2518" w:type="dxa"/>
            <w:tcBorders/>
            <w:vAlign w:val="center"/>
          </w:tcPr>
          <w:p>
            <w:pPr>
              <w:pStyle w:val="TableContents"/>
              <w:bidi w:val="0"/>
              <w:spacing w:before="0" w:after="0"/>
              <w:ind w:left="0" w:right="0" w:hanging="0"/>
              <w:jc w:val="left"/>
              <w:rPr>
                <w:spacing w:val="-3"/>
              </w:rPr>
            </w:pPr>
            <w:r>
              <w:rPr>
                <w:spacing w:val="-3"/>
              </w:rPr>
              <w:t>​</w:t>
            </w:r>
          </w:p>
        </w:tc>
      </w:tr>
      <w:tr>
        <w:tc>
          <w:tcPr>
            <w:tcW w:w="2056" w:type="dxa"/>
            <w:tcBorders/>
            <w:vAlign w:val="center"/>
          </w:tcPr>
          <w:p>
            <w:pPr>
              <w:pStyle w:val="TableContents"/>
              <w:bidi w:val="0"/>
              <w:spacing w:before="0" w:after="0"/>
              <w:ind w:left="0" w:right="0" w:hanging="0"/>
              <w:jc w:val="left"/>
              <w:rPr>
                <w:spacing w:val="-3"/>
              </w:rPr>
            </w:pPr>
            <w:r>
              <w:rPr>
                <w:spacing w:val="-3"/>
              </w:rPr>
              <w:t>​</w:t>
            </w:r>
          </w:p>
        </w:tc>
        <w:tc>
          <w:tcPr>
            <w:tcW w:w="2518" w:type="dxa"/>
            <w:tcBorders/>
            <w:vAlign w:val="center"/>
          </w:tcPr>
          <w:p>
            <w:pPr>
              <w:pStyle w:val="TableContents"/>
              <w:bidi w:val="0"/>
              <w:spacing w:before="0" w:after="0"/>
              <w:ind w:left="0" w:right="0" w:hanging="0"/>
              <w:jc w:val="left"/>
              <w:rPr>
                <w:spacing w:val="-3"/>
              </w:rPr>
            </w:pPr>
            <w:r>
              <w:rPr>
                <w:spacing w:val="-3"/>
              </w:rPr>
              <w:t>​</w:t>
            </w:r>
          </w:p>
        </w:tc>
      </w:tr>
      <w:tr>
        <w:tc>
          <w:tcPr>
            <w:tcW w:w="2056" w:type="dxa"/>
            <w:tcBorders/>
            <w:vAlign w:val="center"/>
          </w:tcPr>
          <w:p>
            <w:pPr>
              <w:pStyle w:val="TableContents"/>
              <w:bidi w:val="0"/>
              <w:spacing w:before="0" w:after="0"/>
              <w:ind w:left="0" w:right="0" w:hanging="0"/>
              <w:jc w:val="left"/>
              <w:rPr>
                <w:spacing w:val="-3"/>
              </w:rPr>
            </w:pPr>
            <w:r>
              <w:rPr>
                <w:spacing w:val="-3"/>
              </w:rPr>
              <w:t>​</w:t>
            </w:r>
          </w:p>
        </w:tc>
        <w:tc>
          <w:tcPr>
            <w:tcW w:w="2518" w:type="dxa"/>
            <w:tcBorders/>
            <w:vAlign w:val="center"/>
          </w:tcPr>
          <w:p>
            <w:pPr>
              <w:pStyle w:val="TableContents"/>
              <w:bidi w:val="0"/>
              <w:spacing w:before="0" w:after="0"/>
              <w:ind w:left="0" w:right="0" w:hanging="0"/>
              <w:jc w:val="left"/>
              <w:rPr>
                <w:spacing w:val="-3"/>
              </w:rPr>
            </w:pPr>
            <w:r>
              <w:rPr>
                <w:spacing w:val="-3"/>
              </w:rPr>
              <w:t>​</w:t>
            </w:r>
          </w:p>
        </w:tc>
      </w:tr>
      <w:tr>
        <w:tc>
          <w:tcPr>
            <w:tcW w:w="2056" w:type="dxa"/>
            <w:tcBorders/>
            <w:vAlign w:val="center"/>
          </w:tcPr>
          <w:p>
            <w:pPr>
              <w:pStyle w:val="TableContents"/>
              <w:bidi w:val="0"/>
              <w:spacing w:before="0" w:after="0"/>
              <w:ind w:left="0" w:right="0" w:hanging="0"/>
              <w:jc w:val="left"/>
              <w:rPr>
                <w:spacing w:val="-3"/>
              </w:rPr>
            </w:pPr>
            <w:r>
              <w:rPr>
                <w:spacing w:val="-3"/>
              </w:rPr>
              <w:t>​</w:t>
            </w:r>
          </w:p>
        </w:tc>
        <w:tc>
          <w:tcPr>
            <w:tcW w:w="251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val="false"/>
                <w:i w:val="false"/>
                <w:caps w:val="false"/>
                <w:smallCaps w:val="false"/>
                <w:spacing w:val="-3"/>
                <w:sz w:val="20"/>
              </w:rPr>
              <w:t>By:</w:t>
            </w:r>
            <w:r>
              <w:rPr>
                <w:rFonts w:ascii="Times New Roman;Times;serif" w:hAnsi="Times New Roman;Times;serif"/>
                <w:spacing w:val="-3"/>
                <w:sz w:val="20"/>
              </w:rPr>
              <w:t>/s/ Amy A. Samford</w:t>
            </w:r>
            <w:r>
              <w:rPr>
                <w:rFonts w:ascii="Times New Roman;Times;serif" w:hAnsi="Times New Roman;Times;serif"/>
                <w:spacing w:val="-3"/>
                <w:sz w:val="20"/>
                <w:u w:val="single"/>
              </w:rPr>
              <w:t>​ ​</w:t>
            </w:r>
          </w:p>
        </w:tc>
      </w:tr>
      <w:tr>
        <w:tc>
          <w:tcPr>
            <w:tcW w:w="2056"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Date: November 5, 2026</w:t>
            </w:r>
          </w:p>
        </w:tc>
        <w:tc>
          <w:tcPr>
            <w:tcW w:w="2518" w:type="dxa"/>
            <w:tcBorders/>
            <w:vAlign w:val="center"/>
          </w:tcPr>
          <w:p>
            <w:pPr>
              <w:pStyle w:val="TableContents"/>
              <w:bidi w:val="0"/>
              <w:spacing w:before="0" w:after="0"/>
              <w:ind w:left="522" w:right="0" w:hanging="0"/>
              <w:jc w:val="left"/>
              <w:rPr>
                <w:rFonts w:ascii="Times New Roman;Times;serif" w:hAnsi="Times New Roman;Times;serif"/>
                <w:i/>
                <w:spacing w:val="-3"/>
                <w:sz w:val="20"/>
              </w:rPr>
            </w:pPr>
            <w:r>
              <w:rPr>
                <w:rFonts w:ascii="Times New Roman;Times;serif" w:hAnsi="Times New Roman;Times;serif"/>
                <w:i/>
                <w:spacing w:val="-3"/>
                <w:sz w:val="20"/>
              </w:rPr>
              <w:t>Amy A. Samford</w:t>
            </w:r>
          </w:p>
          <w:p>
            <w:pPr>
              <w:pStyle w:val="TableContents"/>
              <w:bidi w:val="0"/>
              <w:spacing w:before="0" w:after="0"/>
              <w:ind w:left="522" w:right="0" w:hanging="0"/>
              <w:jc w:val="left"/>
              <w:rPr>
                <w:rFonts w:ascii="Times New Roman;Times;serif" w:hAnsi="Times New Roman;Times;serif"/>
                <w:i/>
                <w:spacing w:val="-3"/>
                <w:sz w:val="20"/>
              </w:rPr>
            </w:pPr>
            <w:r>
              <w:rPr>
                <w:rFonts w:ascii="Times New Roman;Times;serif" w:hAnsi="Times New Roman;Times;serif"/>
                <w:i/>
                <w:spacing w:val="-3"/>
                <w:sz w:val="20"/>
              </w:rPr>
              <w:t xml:space="preserve">Executive Vice President and </w:t>
            </w:r>
          </w:p>
          <w:p>
            <w:pPr>
              <w:pStyle w:val="TableContents"/>
              <w:bidi w:val="0"/>
              <w:spacing w:before="0" w:after="0"/>
              <w:ind w:left="522" w:right="0" w:hanging="0"/>
              <w:jc w:val="left"/>
              <w:rPr>
                <w:rFonts w:ascii="Times New Roman;Times;serif" w:hAnsi="Times New Roman;Times;serif"/>
                <w:i/>
                <w:spacing w:val="-3"/>
                <w:sz w:val="20"/>
              </w:rPr>
            </w:pPr>
            <w:r>
              <w:rPr>
                <w:rFonts w:ascii="Times New Roman;Times;serif" w:hAnsi="Times New Roman;Times;serif"/>
                <w:i/>
                <w:spacing w:val="-3"/>
                <w:sz w:val="20"/>
              </w:rPr>
              <w:t>Chief Financial Officer</w:t>
            </w:r>
          </w:p>
        </w:tc>
      </w:tr>
    </w:tbl>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bookmarkStart w:id="43" w:name="vhl-ex99d1.htm"/>
      <w:bookmarkStart w:id="44" w:name="ksvhlex99d1"/>
      <w:bookmarkEnd w:id="43"/>
      <w:bookmarkEnd w:id="44"/>
      <w:r>
        <w:rPr>
          <w:rFonts w:ascii="Times New Roman;Times;serif" w:hAnsi="Times New Roman;Times;serif"/>
          <w:sz w:val="20"/>
          <w:shd w:fill="FFFFFF" w:val="clear"/>
        </w:rPr>
        <w:tab/>
      </w:r>
      <w:r>
        <w:rPr>
          <w:rFonts w:ascii="Times New Roman;Times;serif" w:hAnsi="Times New Roman;Times;serif"/>
          <w:sz w:val="20"/>
          <w:shd w:fill="FFFFFF" w:val="clear"/>
        </w:rPr>
        <w:tab/>
        <w:tab/>
      </w:r>
      <w:r>
        <w:rPr>
          <w:rFonts w:ascii="Times New Roman;Times;serif" w:hAnsi="Times New Roman;Times;serif"/>
          <w:sz w:val="20"/>
        </w:rPr>
        <w:t>​</w:t>
      </w:r>
      <w:r>
        <mc:AlternateContent>
          <mc:Choice Requires="wps">
            <w:drawing>
              <wp:anchor behindDoc="0" distT="0" distB="0" distL="0" distR="0" simplePos="0" locked="0" layoutInCell="1" allowOverlap="1" relativeHeight="4">
                <wp:simplePos x="0" y="0"/>
                <wp:positionH relativeFrom="page">
                  <wp:posOffset>0</wp:posOffset>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pPr>
                            <w: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pPr>
                      <w:r>
                        <w:t>‌</w:t>
                      </w:r>
                    </w:p>
                  </w:txbxContent>
                </v:textbox>
                <w10:wrap type="none"/>
              </v:rect>
            </w:pict>
          </mc:Fallback>
        </mc:AlternateContent>
      </w:r>
    </w:p>
    <w:p>
      <w:pPr>
        <w:pStyle w:val="TextBody"/>
        <w:bidi w:val="0"/>
        <w:spacing w:before="0" w:after="0"/>
        <w:ind w:left="0" w:right="0" w:hanging="0"/>
        <w:jc w:val="left"/>
      </w:pPr>
      <w:r>
        <w:t>​</w:t>
      </w:r>
    </w:p>
    <w:p>
      <w:pPr>
        <w:pStyle w:val="TextBody"/>
        <w:bidi w:val="0"/>
        <w:spacing w:before="0" w:after="0"/>
        <w:ind w:left="0" w:right="0" w:hanging="0"/>
        <w:jc w:val="left"/>
      </w:pPr>
      <w:r>
        <w:drawing>
          <wp:inline distT="0" distB="0" distL="0" distR="0">
            <wp:extent cx="1762125" cy="4762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762125" cy="476250"/>
                    </a:xfrm>
                    <a:prstGeom prst="rect">
                      <a:avLst/>
                    </a:prstGeom>
                  </pic:spPr>
                </pic:pic>
              </a:graphicData>
            </a:graphic>
          </wp:inline>
        </w:drawing>
      </w:r>
    </w:p>
    <w:p>
      <w:pPr>
        <w:pStyle w:val="TextBody"/>
        <w:bidi w:val="0"/>
        <w:spacing w:before="0" w:after="240"/>
        <w:ind w:left="0" w:right="0" w:hanging="0"/>
        <w:jc w:val="left"/>
      </w:pPr>
      <w:r>
        <w:t>​</w:t>
      </w:r>
    </w:p>
    <w:p>
      <w:pPr>
        <w:pStyle w:val="TextBody"/>
        <w:bidi w:val="0"/>
        <w:spacing w:before="0" w:after="0"/>
        <w:ind w:left="0" w:right="0" w:hanging="0"/>
        <w:jc w:val="left"/>
      </w:pPr>
      <w:r>
        <w:t>​</w:t>
      </w:r>
      <w:r>
        <mc:AlternateContent>
          <mc:Choice Requires="wps">
            <w:drawing>
              <wp:anchor behindDoc="0" distT="0" distB="0" distL="0" distR="0" simplePos="0" locked="0" layoutInCell="1" allowOverlap="1" relativeHeight="5">
                <wp:simplePos x="0" y="0"/>
                <wp:positionH relativeFrom="page">
                  <wp:posOffset>0</wp:posOffset>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pPr>
                      <w:r>
                        <w:t>‌</w:t>
                      </w:r>
                    </w:p>
                  </w:txbxContent>
                </v:textbox>
                <w10:wrap type="none"/>
              </v:rect>
            </w:pict>
          </mc:Fallback>
        </mc:AlternateContent>
      </w:r>
    </w:p>
    <w:p>
      <w:pPr>
        <w:pStyle w:val="TextBody"/>
        <w:bidi w:val="0"/>
        <w:spacing w:lineRule="auto" w:line="144" w:before="0" w:after="0"/>
        <w:ind w:left="0" w:right="0" w:hanging="0"/>
        <w:jc w:val="left"/>
      </w:pPr>
      <w:r>
        <w:t>​</w:t>
      </w:r>
    </w:p>
    <w:p>
      <w:pPr>
        <w:pStyle w:val="TextBody"/>
        <w:bidi w:val="0"/>
        <w:spacing w:before="0" w:after="240"/>
        <w:ind w:left="0" w:right="0" w:hanging="0"/>
        <w:jc w:val="center"/>
      </w:pPr>
      <w:r>
        <w:t>​</w:t>
      </w:r>
    </w:p>
    <w:p>
      <w:pPr>
        <w:pStyle w:val="TextBody"/>
        <w:bidi w:val="0"/>
        <w:spacing w:before="0" w:after="240"/>
        <w:ind w:left="0" w:right="0" w:hanging="0"/>
        <w:jc w:val="center"/>
      </w:pPr>
      <w:r>
        <w:t>​</w:t>
      </w:r>
    </w:p>
    <w:p>
      <w:pPr>
        <w:pStyle w:val="TextBody"/>
        <w:bidi w:val="0"/>
        <w:spacing w:before="0" w:after="80"/>
        <w:ind w:left="0" w:right="0" w:hanging="0"/>
        <w:jc w:val="center"/>
        <w:rPr>
          <w:rFonts w:ascii="Times New Roman;Times;serif" w:hAnsi="Times New Roman;Times;serif"/>
          <w:b/>
          <w:sz w:val="24"/>
        </w:rPr>
      </w:pPr>
      <w:r>
        <w:rPr>
          <w:rFonts w:ascii="Times New Roman;Times;serif" w:hAnsi="Times New Roman;Times;serif"/>
          <w:b/>
          <w:sz w:val="24"/>
        </w:rPr>
        <w:t>VALHI REPORTS THIRD QUARTER 2026 RESULTS</w:t>
      </w:r>
    </w:p>
    <w:p>
      <w:pPr>
        <w:pStyle w:val="TextBody"/>
        <w:bidi w:val="0"/>
        <w:spacing w:before="0" w:after="240"/>
        <w:ind w:left="0" w:right="0" w:hanging="0"/>
        <w:jc w:val="center"/>
      </w:pPr>
      <w: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DALLAS, TEXAS . . November 5, 2026. Valhi, Inc. (NYSE: VHI) reported net income attributable to Valhi stockholders of $30.2 million, or $1.06 per share, in the third quarter of 2026 compared to a net loss of $22.2 million, or $.78 per share, in the third quarter of 2025. For the first nine months of 2026, Valhi reported net income attributable to Valhi stockholders of $54.5 million, or $1.91 per share, compared to a net loss of $4.4 million, or $.15 per share, in the first nine months of 2025. Net income attributable to Valhi stockholders increased in the third quarter of 2026 as compared to the same period of 2025 primarily due to higher operating income from our Chemicals Segment partially offset by lower operating income from our Real Estate Management and Development Segment. Net income attributable to Valhi stockholders increased in the first nine months of 2026 as compared to the same period of 2025 primarily due to higher operating income from our Chemicals Segment.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Chemicals Segment’s net sales of $541.1 million in the third quarter of 2026 were $84.2 million, or 18%, higher than in the third quarter of 2025, and n</w:t>
      </w:r>
      <w:r>
        <w:rPr>
          <w:rFonts w:ascii="Times New Roman;Times;serif" w:hAnsi="Times New Roman;Times;serif"/>
          <w:sz w:val="20"/>
          <w:shd w:fill="FFFFFF" w:val="clear"/>
        </w:rPr>
        <w:t>et sales of $1.6 billion in the first nine months of 2026 were $167.9 million, or 12%, higher than in the first nine months of 2025.</w:t>
      </w:r>
      <w:r>
        <w:rPr>
          <w:rFonts w:ascii="Times New Roman;Times;serif" w:hAnsi="Times New Roman;Times;serif"/>
          <w:sz w:val="20"/>
        </w:rPr>
        <w:t xml:space="preserve"> The Chemicals Segment’s net sales increased in the third quarter of 2026 compared to the same period of 2025 primarily due to market share gains in its European and North American markets, reflecting the effect of anti-dumping duties that remain in effect in certain markets and changing supply conditions, and higher average TiO</w:t>
      </w:r>
      <w:r>
        <w:rPr>
          <w:rFonts w:ascii="Times New Roman;Times;serif" w:hAnsi="Times New Roman;Times;serif"/>
          <w:sz w:val="15"/>
        </w:rPr>
        <w:t>2</w:t>
      </w:r>
      <w:r>
        <w:rPr>
          <w:rFonts w:ascii="Times New Roman;Times;serif" w:hAnsi="Times New Roman;Times;serif"/>
          <w:sz w:val="20"/>
        </w:rPr>
        <w:t xml:space="preserve"> selling prices. Net sales increased during the first nine months of 2026 compared to the same period of 2025 primarily due to market share gains in its European and North American markets previously noted and by changes in currency exchange rates (primarily the euro), which we estimate increased our Chemicals Segment’s net sales by approximately $39 million. Our Chemicals Segment started 2026 with average TiO</w:t>
      </w:r>
      <w:r>
        <w:rPr>
          <w:rFonts w:ascii="Times New Roman;Times;serif" w:hAnsi="Times New Roman;Times;serif"/>
          <w:sz w:val="15"/>
        </w:rPr>
        <w:t>2</w:t>
      </w:r>
      <w:r>
        <w:rPr>
          <w:rFonts w:ascii="Times New Roman;Times;serif" w:hAnsi="Times New Roman;Times;serif"/>
          <w:sz w:val="20"/>
        </w:rPr>
        <w:t xml:space="preserve"> selling prices lower than at the beginning of 2025; however, its average TiO</w:t>
      </w:r>
      <w:r>
        <w:rPr>
          <w:rFonts w:ascii="Times New Roman;Times;serif" w:hAnsi="Times New Roman;Times;serif"/>
          <w:sz w:val="15"/>
        </w:rPr>
        <w:t xml:space="preserve">2 </w:t>
      </w:r>
      <w:r>
        <w:rPr>
          <w:rFonts w:ascii="Times New Roman;Times;serif" w:hAnsi="Times New Roman;Times;serif"/>
          <w:sz w:val="20"/>
        </w:rPr>
        <w:t>selling prices have increased 11% during the first nine months of 2026. Throughout this period, our Chemicals Segment successfully implemented price increases and surcharges in response to rising operating costs, including energy and distribution costs. As a result, its average TiO</w:t>
      </w:r>
      <w:r>
        <w:rPr>
          <w:rFonts w:ascii="Times New Roman;Times;serif" w:hAnsi="Times New Roman;Times;serif"/>
          <w:sz w:val="15"/>
        </w:rPr>
        <w:t>2</w:t>
      </w:r>
      <w:r>
        <w:rPr>
          <w:rFonts w:ascii="Times New Roman;Times;serif" w:hAnsi="Times New Roman;Times;serif"/>
          <w:sz w:val="20"/>
        </w:rPr>
        <w:t xml:space="preserve"> selling prices for the first nine months of 2026 were 1% lower than the corresponding period of 2025, while average TiO</w:t>
      </w:r>
      <w:r>
        <w:rPr>
          <w:rFonts w:ascii="Times New Roman;Times;serif" w:hAnsi="Times New Roman;Times;serif"/>
          <w:sz w:val="15"/>
        </w:rPr>
        <w:t>2</w:t>
      </w:r>
      <w:r>
        <w:rPr>
          <w:rFonts w:ascii="Times New Roman;Times;serif" w:hAnsi="Times New Roman;Times;serif"/>
          <w:sz w:val="20"/>
        </w:rPr>
        <w:t xml:space="preserve"> selling prices for the third quarter of 2026 were 5% higher than in the third quarter of 2025. The table at the end of this press release shows how each of these items impacted net sales.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Chemicals Segment’s operating income in the third quarter of 2026 was $60.5 million compared to a loss of $15.9 million in the third quarter of 2025. For the first nine months of 2026, our Chemicals Segment’s operating income was $115.4 million compared to $35.6 million in the first nine months of 2025. Our Chemicals Segment’s operating income increased in both the third quarter and first nine months of 2026 compared to corresponding 2025 periods primarily due to higher sales volumes, </w:t>
      </w:r>
      <w:r>
        <w:rPr>
          <w:rFonts w:ascii="Times New Roman;Times;serif" w:hAnsi="Times New Roman;Times;serif"/>
          <w:sz w:val="20"/>
          <w:shd w:fill="FFFFFF" w:val="clear"/>
        </w:rPr>
        <w:t xml:space="preserve">higher production rates resulting in reduced unabsorbed fixed production costs, lower raw material costs (primarily feedstock) and lower production costs primarily driven by the cost reduction initiatives implemented in the fourth quarter of 2025. </w:t>
      </w:r>
      <w:r>
        <w:rPr>
          <w:rFonts w:ascii="Times New Roman;Times;serif" w:hAnsi="Times New Roman;Times;serif"/>
          <w:sz w:val="20"/>
        </w:rPr>
        <w:t xml:space="preserve">These favorable factors were partially offset by higher energy and distribution costs as well as the unfavorable impact on changes in currency exchange rates. Fluctuations in currency exchange rates (primarily the euro) decreased our Chemicals Segment’s operating income by approximately $5 million in the third quarter of 2026 and approximately $23 million in the first nine months of 2026 compared to the same prior year periods.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Component Products Segment’s net sales were $44.0 million in the third quarter of 2026 compared to $40.0 million in the third quarter of 2025 and $128.2 million in the first nine months of 2026 compared to $120.6 million in the same period of 2025. The Component Products Segment’s net sales increased in the third quarter compared to the same period in 2025 due to higher marine components sales to the towboat and industrial markets and, to a lesser extent, higher security products sales to the healthcare and tool storage markets. The Component Products Segment’s net sales increased in the first nine months of 2026 compared to the same period in 2025 due to higher marine components sales to the industrial market and higher security products sales to various markets including the healthcare, tool storage, transportation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 1 of 6</w:t>
      </w:r>
    </w:p>
    <w:p>
      <w:pPr>
        <w:pStyle w:val="TextBody"/>
        <w:bidi w:val="0"/>
        <w:spacing w:before="0" w:after="0"/>
        <w:ind w:left="0" w:right="0" w:hanging="0"/>
        <w:jc w:val="center"/>
      </w:pPr>
      <w:r>
        <w:t>​</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ab/>
      </w:r>
      <w:r>
        <w:rPr>
          <w:rFonts w:ascii="Times New Roman;Times;serif" w:hAnsi="Times New Roman;Times;serif"/>
          <w:sz w:val="20"/>
        </w:rPr>
        <w:t>​</w:t>
      </w:r>
      <w:r>
        <mc:AlternateContent>
          <mc:Choice Requires="wps">
            <w:drawing>
              <wp:anchor behindDoc="0" distT="0" distB="0" distL="0" distR="0" simplePos="0" locked="0" layoutInCell="1" allowOverlap="1" relativeHeight="6">
                <wp:simplePos x="0" y="0"/>
                <wp:positionH relativeFrom="page">
                  <wp:posOffset>0</wp:posOffset>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pPr>
                      <w:r>
                        <w:t>‌</w:t>
                      </w:r>
                    </w:p>
                  </w:txbxContent>
                </v:textbox>
                <w10:wrap type="none"/>
              </v:rect>
            </w:pict>
          </mc:Fallback>
        </mc:AlternateConten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and distribution markets. Operating income attributable to the Component Products Segment was $6.4 million in the third quarter of 2026 compared to $4.8 million in the third quarter of 2025 and $22.4 million in the first nine months of 2026 compared to $17.0 million for the same prior year period. The Component Products Segment’s operating income increased in the third quarter and for the first nine months of 2026 compared to the same periods in 2025 due to higher sales and gross margin at the security products and marine components reporting units.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Real Estate Management and Development Segment had net sales of $3.9 million in the third quarter of 2026 compared to $6.6 million in the third quarter of 2025. For the first nine months of 2026, the Real Estate Management and Development Segment had net sales of $18.0 million compared to $20.8 million in the same period of 2025. Land sales revenue is generally recognized over time based on cost inputs, and land sales revenues are dependent on spending for development activities. Net sales decreased in both periods due to the significantly slower pace of development activity for previously sold parcels within the residential/planned community as our Real Estate Management and Development Segment nears completion of its development work. Lower land sales revenue in the first nine months of 2026 was partially offset by the sale of the final commercial parcel for $7.3 million in the first quarter of 2026, which had no further development obligations and was therefore immediately recognized as revenue. The pace of development activities is dictated by a number of factors such as city permit and design approval, approvals from the Nevada Department of Environmental Protection, and labor and materials availability. The Real Estate Management and Development Segment also recognized tax increment infrastructure reimbursements of $16.7 million ($8.7 million, or $.30 per share, net of income tax and noncontrolling interest) and $34.2 million ($17.8 million, or $.62 per share, net of income tax and noncontrolling interest) in the first nine months of 2026 and 2025, respectively. Additionally, during the second quarter of 2026 the Real Estate Management and Development Segment sold the office building used in its operations and recognized a gain on the sale of approximately $5.8 million ($3.0 million, or $.10 per share, net of income tax and noncontrolling interest).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Corporate expenses were 13% lower in the third quarter of 2026 primarily due to lower general and administrative costs partially offset by higher environmental remediation and related costs. Corporate expenses were 8% lower in first nine months of 2026 compared to the same respective periods in 2025 primarily due to lower general and administrative costs and lower environmental remediation and related costs. Interest expense decreased $1.1 million in the third quarter of 2026 compared to the third quarter of 2025 primarily due to lower overall average debt balances. Interest expense increased $1.3 million in the first nine months of 2026 compared to the first nine months in 2025 primarily due to higher average interest rates. </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Income (loss) before taxes in the third quarter and first nine months of 2025 includes the recognition of a non-cash gain of $4.6 million ($2.4 million, or $.08 per share, net of tax and noncontrolling interest) associated with the remeasurement of the earn-out liability related to the 2024 acquisition of the remaining ownership interest in Louisiana Pigment Company, L.P.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net income attributable to Valhi stockholders for the third quarter and first nine months of 2026 includes a non-cash deferred income tax benefit of $12.1 million ($8.0 million, or $.28 per share, net of noncontrolling interest) related to proposed currency regulations under §987 issued in August 2026. Net income attributable to Valhi stockholders for the first nine months of 2026 also includes an income tax expense of $2.0 million ($1.3 million, or $.04 per share, net of noncontrolling interest) to recognize an uncertain tax position related to a German tax audit. Our net loss attributable to Valhi stockholders in the third quarter and first nine months of 2025 includes a non-cash deferred income tax expense of $19.3 million ($12.8 million, or $.45 per share, net of noncontrolling interest) to reduce our net German deferred tax asset as a result of legislation enacted in Germany during the third quarter of 2025.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statements in this press release relating to matters that are not historical facts are forward-looking statements that represent management’s beliefs and assumptions based on currently available information. Although we believe the expectations reflected in such forward-looking statements are reasonable, we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we continue to face many risks and uncertainties. Among the factors that could cause our actual future results to differ materially include, but are not limited to, the following:</w:t>
      </w:r>
    </w:p>
    <w:tbl>
      <w:tblPr>
        <w:tblW w:w="3768" w:type="dxa"/>
        <w:jc w:val="left"/>
        <w:tblInd w:w="0" w:type="dxa"/>
        <w:tblLayout w:type="fixed"/>
        <w:tblCellMar>
          <w:top w:w="0" w:type="dxa"/>
          <w:left w:w="0" w:type="dxa"/>
          <w:bottom w:w="0" w:type="dxa"/>
          <w:right w:w="0" w:type="dxa"/>
        </w:tblCellMar>
      </w:tblPr>
      <w:tblGrid>
        <w:gridCol w:w="23"/>
        <w:gridCol w:w="170"/>
        <w:gridCol w:w="357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supply and demand for our products;</w:t>
            </w:r>
          </w:p>
        </w:tc>
      </w:tr>
    </w:tbl>
    <w:tbl>
      <w:tblPr>
        <w:tblW w:w="7113" w:type="dxa"/>
        <w:jc w:val="left"/>
        <w:tblInd w:w="0" w:type="dxa"/>
        <w:tblLayout w:type="fixed"/>
        <w:tblCellMar>
          <w:top w:w="0" w:type="dxa"/>
          <w:left w:w="0" w:type="dxa"/>
          <w:bottom w:w="0" w:type="dxa"/>
          <w:right w:w="0" w:type="dxa"/>
        </w:tblCellMar>
      </w:tblPr>
      <w:tblGrid>
        <w:gridCol w:w="23"/>
        <w:gridCol w:w="170"/>
        <w:gridCol w:w="692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6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realize expected cost savings from strategic and operational initiatives;</w:t>
            </w:r>
          </w:p>
        </w:tc>
      </w:tr>
    </w:tbl>
    <w:tbl>
      <w:tblPr>
        <w:tblW w:w="9018" w:type="dxa"/>
        <w:jc w:val="left"/>
        <w:tblInd w:w="0" w:type="dxa"/>
        <w:tblLayout w:type="fixed"/>
        <w:tblCellMar>
          <w:top w:w="0" w:type="dxa"/>
          <w:left w:w="0" w:type="dxa"/>
          <w:bottom w:w="0" w:type="dxa"/>
          <w:right w:w="0" w:type="dxa"/>
        </w:tblCellMar>
      </w:tblPr>
      <w:tblGrid>
        <w:gridCol w:w="23"/>
        <w:gridCol w:w="170"/>
        <w:gridCol w:w="882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8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integrate acquisitions into Kronos’ operations and realize expected synergies and innovations;</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 2 of 6</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ab/>
      </w:r>
      <w:r>
        <w:rPr>
          <w:rFonts w:ascii="Times New Roman;Times;serif" w:hAnsi="Times New Roman;Times;serif"/>
          <w:sz w:val="20"/>
        </w:rPr>
        <w:t>​</w:t>
      </w:r>
      <w:r>
        <mc:AlternateContent>
          <mc:Choice Requires="wps">
            <w:drawing>
              <wp:anchor behindDoc="0" distT="0" distB="0" distL="0" distR="0" simplePos="0" locked="0" layoutInCell="1" allowOverlap="1" relativeHeight="7">
                <wp:simplePos x="0" y="0"/>
                <wp:positionH relativeFrom="page">
                  <wp:posOffset>0</wp:posOffset>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pPr>
                      <w:r>
                        <w:t>‌</w:t>
                      </w:r>
                    </w:p>
                  </w:txbxContent>
                </v:textbox>
                <w10:wrap type="none"/>
              </v:rect>
            </w:pict>
          </mc:Fallback>
        </mc:AlternateContent>
      </w:r>
    </w:p>
    <w:tbl>
      <w:tblPr>
        <w:tblW w:w="6963" w:type="dxa"/>
        <w:jc w:val="left"/>
        <w:tblInd w:w="0" w:type="dxa"/>
        <w:tblLayout w:type="fixed"/>
        <w:tblCellMar>
          <w:top w:w="0" w:type="dxa"/>
          <w:left w:w="0" w:type="dxa"/>
          <w:bottom w:w="0" w:type="dxa"/>
          <w:right w:w="0" w:type="dxa"/>
        </w:tblCellMar>
      </w:tblPr>
      <w:tblGrid>
        <w:gridCol w:w="23"/>
        <w:gridCol w:w="170"/>
        <w:gridCol w:w="677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the dependence of certain of our businesses on certain market sectors;</w:t>
            </w:r>
          </w:p>
        </w:tc>
      </w:tr>
    </w:tbl>
    <w:tbl>
      <w:tblPr>
        <w:tblW w:w="6528" w:type="dxa"/>
        <w:jc w:val="left"/>
        <w:tblInd w:w="0" w:type="dxa"/>
        <w:tblLayout w:type="fixed"/>
        <w:tblCellMar>
          <w:top w:w="0" w:type="dxa"/>
          <w:left w:w="0" w:type="dxa"/>
          <w:bottom w:w="0" w:type="dxa"/>
          <w:right w:w="0" w:type="dxa"/>
        </w:tblCellMar>
      </w:tblPr>
      <w:tblGrid>
        <w:gridCol w:w="23"/>
        <w:gridCol w:w="170"/>
        <w:gridCol w:w="633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6335" w:type="dxa"/>
            <w:tcBorders/>
            <w:vAlign w:val="center"/>
          </w:tcPr>
          <w:p>
            <w:pPr>
              <w:pStyle w:val="TableContents"/>
              <w:bidi w:val="0"/>
              <w:spacing w:before="0" w:after="283"/>
              <w:jc w:val="left"/>
            </w:pPr>
            <w:r>
              <w:rPr>
                <w:rFonts w:ascii="Times New Roman;Times;serif" w:hAnsi="Times New Roman;Times;serif"/>
                <w:b w:val="false"/>
                <w:i w:val="false"/>
                <w:caps w:val="false"/>
                <w:smallCaps w:val="false"/>
                <w:sz w:val="20"/>
              </w:rPr>
              <w:t>The cyclicality of certain of our businesses (such as Kronos’ TiO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operations);</w:t>
            </w:r>
          </w:p>
        </w:tc>
      </w:tr>
    </w:tbl>
    <w:tbl>
      <w:tblPr>
        <w:tblW w:w="3528" w:type="dxa"/>
        <w:jc w:val="left"/>
        <w:tblInd w:w="0" w:type="dxa"/>
        <w:tblLayout w:type="fixed"/>
        <w:tblCellMar>
          <w:top w:w="0" w:type="dxa"/>
          <w:left w:w="0" w:type="dxa"/>
          <w:bottom w:w="0" w:type="dxa"/>
          <w:right w:w="0" w:type="dxa"/>
        </w:tblCellMar>
      </w:tblPr>
      <w:tblGrid>
        <w:gridCol w:w="23"/>
        <w:gridCol w:w="170"/>
        <w:gridCol w:w="333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producer inventory levels;</w:t>
            </w:r>
          </w:p>
        </w:tc>
      </w:tr>
    </w:tbl>
    <w:tbl>
      <w:tblPr>
        <w:tblW w:w="7788" w:type="dxa"/>
        <w:jc w:val="left"/>
        <w:tblInd w:w="0" w:type="dxa"/>
        <w:tblLayout w:type="fixed"/>
        <w:tblCellMar>
          <w:top w:w="0" w:type="dxa"/>
          <w:left w:w="0" w:type="dxa"/>
          <w:bottom w:w="0" w:type="dxa"/>
          <w:right w:w="0" w:type="dxa"/>
        </w:tblCellMar>
      </w:tblPr>
      <w:tblGrid>
        <w:gridCol w:w="23"/>
        <w:gridCol w:w="170"/>
        <w:gridCol w:w="759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7595" w:type="dxa"/>
            <w:tcBorders/>
            <w:vAlign w:val="center"/>
          </w:tcPr>
          <w:p>
            <w:pPr>
              <w:pStyle w:val="TableContents"/>
              <w:bidi w:val="0"/>
              <w:spacing w:before="0" w:after="283"/>
              <w:jc w:val="left"/>
            </w:pPr>
            <w:r>
              <w:rPr>
                <w:rFonts w:ascii="Times New Roman;Times;serif" w:hAnsi="Times New Roman;Times;serif"/>
                <w:b w:val="false"/>
                <w:i w:val="false"/>
                <w:caps w:val="false"/>
                <w:smallCaps w:val="false"/>
                <w:sz w:val="20"/>
              </w:rPr>
              <w:t>Unexpected or earlier-than-expected industry capacity expansion (such as the TiO</w:t>
            </w:r>
            <w:r>
              <w:rPr>
                <w:rFonts w:ascii="Times New Roman;Times;serif" w:hAnsi="Times New Roman;Times;serif"/>
                <w:b w:val="false"/>
                <w:i w:val="false"/>
                <w:caps w:val="false"/>
                <w:smallCaps w:val="false"/>
                <w:sz w:val="15"/>
              </w:rPr>
              <w:t>2</w:t>
            </w:r>
            <w:r>
              <w:rPr>
                <w:caps w:val="false"/>
                <w:smallCaps w:val="false"/>
              </w:rPr>
              <w:t xml:space="preserve"> </w:t>
            </w:r>
            <w:r>
              <w:rPr>
                <w:rFonts w:ascii="Times New Roman;Times;serif" w:hAnsi="Times New Roman;Times;serif"/>
                <w:b w:val="false"/>
                <w:i w:val="false"/>
                <w:caps w:val="false"/>
                <w:smallCaps w:val="false"/>
                <w:sz w:val="20"/>
              </w:rPr>
              <w:t>industry);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raw material and other operating costs (such as ore, zinc, brass, aluminum, steel and energy costs) or the implementation of tariffs on imported raw materials; </w:t>
            </w:r>
          </w:p>
        </w:tc>
      </w:tr>
    </w:tbl>
    <w:tbl>
      <w:tblPr>
        <w:tblW w:w="4848" w:type="dxa"/>
        <w:jc w:val="left"/>
        <w:tblInd w:w="0" w:type="dxa"/>
        <w:tblLayout w:type="fixed"/>
        <w:tblCellMar>
          <w:top w:w="0" w:type="dxa"/>
          <w:left w:w="0" w:type="dxa"/>
          <w:bottom w:w="0" w:type="dxa"/>
          <w:right w:w="0" w:type="dxa"/>
        </w:tblCellMar>
      </w:tblPr>
      <w:tblGrid>
        <w:gridCol w:w="23"/>
        <w:gridCol w:w="170"/>
        <w:gridCol w:w="465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availability of raw materials (such as ore);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pPr>
            <w:r>
              <w:rPr>
                <w:rFonts w:ascii="Times New Roman;Times;serif" w:hAnsi="Times New Roman;Times;serif"/>
                <w:b w:val="false"/>
                <w:i w:val="false"/>
                <w:caps w:val="false"/>
                <w:smallCaps w:val="false"/>
                <w:sz w:val="20"/>
              </w:rPr>
              <w:t>General global economic and political conditions that harm the worldwide economy, disrupt our supply chain, increase material and energy costs, reduce demand or perceived demand for TiO</w:t>
            </w:r>
            <w:r>
              <w:rPr>
                <w:rFonts w:ascii="Times New Roman;Times;serif" w:hAnsi="Times New Roman;Times;serif"/>
                <w:b w:val="false"/>
                <w:i w:val="false"/>
                <w:caps w:val="false"/>
                <w:smallCaps w:val="false"/>
                <w:sz w:val="15"/>
              </w:rPr>
              <w:t xml:space="preserve">2, </w:t>
            </w:r>
            <w:r>
              <w:rPr>
                <w:rFonts w:ascii="Times New Roman;Times;serif" w:hAnsi="Times New Roman;Times;serif"/>
                <w:b w:val="false"/>
                <w:i w:val="false"/>
                <w:caps w:val="false"/>
                <w:smallCaps w:val="false"/>
                <w:sz w:val="20"/>
              </w:rPr>
              <w:t>component products and land held for development or impair our ability to operate our facilities (including changes in the level of gross domestic product in various regions of the world, tariffs, natural disasters, terrorist acts, global conflicts and public health crises);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interruptions (including, but not limited to, labor disputes, leaks, natural disasters, fires, explosions, unscheduled or unplanned downtime, transportation interruptions, certain regional and world events or economic conditions and public health crises);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Technology related disruptions (including, but not limited to, cyber-attacks; software implementation, upgrades or improvements; technology processing failures; or other events) related to our technology infrastructure (including manufacturing and accounting systems) that could impact our ability to continue operations, or at key vendors which could impact our supply chain, or at key customers which could impact their operations and cause them to curtail or pause orders; </w:t>
            </w:r>
          </w:p>
        </w:tc>
      </w:tr>
    </w:tbl>
    <w:tbl>
      <w:tblPr>
        <w:tblW w:w="3978" w:type="dxa"/>
        <w:jc w:val="left"/>
        <w:tblInd w:w="0" w:type="dxa"/>
        <w:tblLayout w:type="fixed"/>
        <w:tblCellMar>
          <w:top w:w="0" w:type="dxa"/>
          <w:left w:w="0" w:type="dxa"/>
          <w:bottom w:w="0" w:type="dxa"/>
          <w:right w:w="0" w:type="dxa"/>
        </w:tblCellMar>
      </w:tblPr>
      <w:tblGrid>
        <w:gridCol w:w="23"/>
        <w:gridCol w:w="170"/>
        <w:gridCol w:w="378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products and substitute products;</w:t>
            </w:r>
          </w:p>
        </w:tc>
      </w:tr>
    </w:tbl>
    <w:tbl>
      <w:tblPr>
        <w:tblW w:w="9273" w:type="dxa"/>
        <w:jc w:val="left"/>
        <w:tblInd w:w="0" w:type="dxa"/>
        <w:tblLayout w:type="fixed"/>
        <w:tblCellMar>
          <w:top w:w="0" w:type="dxa"/>
          <w:left w:w="0" w:type="dxa"/>
          <w:bottom w:w="0" w:type="dxa"/>
          <w:right w:w="0" w:type="dxa"/>
        </w:tblCellMar>
      </w:tblPr>
      <w:tblGrid>
        <w:gridCol w:w="23"/>
        <w:gridCol w:w="170"/>
        <w:gridCol w:w="908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9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Chinese suppliers with less stringent regulatory and environmental compliance requirements;</w:t>
            </w:r>
          </w:p>
        </w:tc>
      </w:tr>
    </w:tbl>
    <w:tbl>
      <w:tblPr>
        <w:tblW w:w="3138" w:type="dxa"/>
        <w:jc w:val="left"/>
        <w:tblInd w:w="0" w:type="dxa"/>
        <w:tblLayout w:type="fixed"/>
        <w:tblCellMar>
          <w:top w:w="0" w:type="dxa"/>
          <w:left w:w="0" w:type="dxa"/>
          <w:bottom w:w="0" w:type="dxa"/>
          <w:right w:w="0" w:type="dxa"/>
        </w:tblCellMar>
      </w:tblPr>
      <w:tblGrid>
        <w:gridCol w:w="23"/>
        <w:gridCol w:w="170"/>
        <w:gridCol w:w="294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competitor strategies;</w:t>
            </w:r>
          </w:p>
        </w:tc>
      </w:tr>
    </w:tbl>
    <w:tbl>
      <w:tblPr>
        <w:tblW w:w="3708" w:type="dxa"/>
        <w:jc w:val="left"/>
        <w:tblInd w:w="0" w:type="dxa"/>
        <w:tblLayout w:type="fixed"/>
        <w:tblCellMar>
          <w:top w:w="0" w:type="dxa"/>
          <w:left w:w="0" w:type="dxa"/>
          <w:bottom w:w="0" w:type="dxa"/>
          <w:right w:w="0" w:type="dxa"/>
        </w:tblCellMar>
      </w:tblPr>
      <w:tblGrid>
        <w:gridCol w:w="23"/>
        <w:gridCol w:w="170"/>
        <w:gridCol w:w="351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consolidation of our competitors;</w:t>
            </w:r>
          </w:p>
        </w:tc>
      </w:tr>
    </w:tbl>
    <w:tbl>
      <w:tblPr>
        <w:tblW w:w="3558" w:type="dxa"/>
        <w:jc w:val="left"/>
        <w:tblInd w:w="0" w:type="dxa"/>
        <w:tblLayout w:type="fixed"/>
        <w:tblCellMar>
          <w:top w:w="0" w:type="dxa"/>
          <w:left w:w="0" w:type="dxa"/>
          <w:bottom w:w="0" w:type="dxa"/>
          <w:right w:w="0" w:type="dxa"/>
        </w:tblCellMar>
      </w:tblPr>
      <w:tblGrid>
        <w:gridCol w:w="23"/>
        <w:gridCol w:w="170"/>
        <w:gridCol w:w="336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consolidation of our customers;</w:t>
            </w:r>
          </w:p>
        </w:tc>
      </w:tr>
    </w:tbl>
    <w:tbl>
      <w:tblPr>
        <w:tblW w:w="3078" w:type="dxa"/>
        <w:jc w:val="left"/>
        <w:tblInd w:w="0" w:type="dxa"/>
        <w:tblLayout w:type="fixed"/>
        <w:tblCellMar>
          <w:top w:w="0" w:type="dxa"/>
          <w:left w:w="0" w:type="dxa"/>
          <w:bottom w:w="0" w:type="dxa"/>
          <w:right w:w="0" w:type="dxa"/>
        </w:tblCellMar>
      </w:tblPr>
      <w:tblGrid>
        <w:gridCol w:w="23"/>
        <w:gridCol w:w="170"/>
        <w:gridCol w:w="288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key customers;</w:t>
            </w:r>
          </w:p>
        </w:tc>
      </w:tr>
    </w:tbl>
    <w:tbl>
      <w:tblPr>
        <w:tblW w:w="5958" w:type="dxa"/>
        <w:jc w:val="left"/>
        <w:tblInd w:w="0" w:type="dxa"/>
        <w:tblLayout w:type="fixed"/>
        <w:tblCellMar>
          <w:top w:w="0" w:type="dxa"/>
          <w:left w:w="0" w:type="dxa"/>
          <w:bottom w:w="0" w:type="dxa"/>
          <w:right w:w="0" w:type="dxa"/>
        </w:tblCellMar>
      </w:tblPr>
      <w:tblGrid>
        <w:gridCol w:w="23"/>
        <w:gridCol w:w="170"/>
        <w:gridCol w:w="576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5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pressure and changes in industry supply and production levels;</w:t>
            </w:r>
          </w:p>
        </w:tc>
      </w:tr>
    </w:tbl>
    <w:tbl>
      <w:tblPr>
        <w:tblW w:w="3063" w:type="dxa"/>
        <w:jc w:val="left"/>
        <w:tblInd w:w="0" w:type="dxa"/>
        <w:tblLayout w:type="fixed"/>
        <w:tblCellMar>
          <w:top w:w="0" w:type="dxa"/>
          <w:left w:w="0" w:type="dxa"/>
          <w:bottom w:w="0" w:type="dxa"/>
          <w:right w:w="0" w:type="dxa"/>
        </w:tblCellMar>
      </w:tblPr>
      <w:tblGrid>
        <w:gridCol w:w="23"/>
        <w:gridCol w:w="170"/>
        <w:gridCol w:w="287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technology positions;</w:t>
            </w:r>
          </w:p>
        </w:tc>
      </w:tr>
    </w:tbl>
    <w:tbl>
      <w:tblPr>
        <w:tblW w:w="5013" w:type="dxa"/>
        <w:jc w:val="left"/>
        <w:tblInd w:w="0" w:type="dxa"/>
        <w:tblLayout w:type="fixed"/>
        <w:tblCellMar>
          <w:top w:w="0" w:type="dxa"/>
          <w:left w:w="0" w:type="dxa"/>
          <w:bottom w:w="0" w:type="dxa"/>
          <w:right w:w="0" w:type="dxa"/>
        </w:tblCellMar>
      </w:tblPr>
      <w:tblGrid>
        <w:gridCol w:w="23"/>
        <w:gridCol w:w="170"/>
        <w:gridCol w:w="482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or defend intellectual property rights;</w:t>
            </w:r>
          </w:p>
        </w:tc>
      </w:tr>
    </w:tbl>
    <w:tbl>
      <w:tblPr>
        <w:tblW w:w="7188" w:type="dxa"/>
        <w:jc w:val="left"/>
        <w:tblInd w:w="0" w:type="dxa"/>
        <w:tblLayout w:type="fixed"/>
        <w:tblCellMar>
          <w:top w:w="0" w:type="dxa"/>
          <w:left w:w="0" w:type="dxa"/>
          <w:bottom w:w="0" w:type="dxa"/>
          <w:right w:w="0" w:type="dxa"/>
        </w:tblCellMar>
      </w:tblPr>
      <w:tblGrid>
        <w:gridCol w:w="23"/>
        <w:gridCol w:w="170"/>
        <w:gridCol w:w="699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new, or changes in existing, tariffs, trade barriers or trade disputes;</w:t>
            </w:r>
          </w:p>
        </w:tc>
      </w:tr>
    </w:tbl>
    <w:tbl>
      <w:tblPr>
        <w:tblW w:w="4338" w:type="dxa"/>
        <w:jc w:val="left"/>
        <w:tblInd w:w="0" w:type="dxa"/>
        <w:tblLayout w:type="fixed"/>
        <w:tblCellMar>
          <w:top w:w="0" w:type="dxa"/>
          <w:left w:w="0" w:type="dxa"/>
          <w:bottom w:w="0" w:type="dxa"/>
          <w:right w:w="0" w:type="dxa"/>
        </w:tblCellMar>
      </w:tblPr>
      <w:tblGrid>
        <w:gridCol w:w="23"/>
        <w:gridCol w:w="170"/>
        <w:gridCol w:w="414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4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subsidiaries to pay us dividends;</w:t>
            </w:r>
          </w:p>
        </w:tc>
      </w:tr>
    </w:tbl>
    <w:tbl>
      <w:tblPr>
        <w:tblW w:w="8493" w:type="dxa"/>
        <w:jc w:val="left"/>
        <w:tblInd w:w="0" w:type="dxa"/>
        <w:tblLayout w:type="fixed"/>
        <w:tblCellMar>
          <w:top w:w="0" w:type="dxa"/>
          <w:left w:w="0" w:type="dxa"/>
          <w:bottom w:w="0" w:type="dxa"/>
          <w:right w:w="0" w:type="dxa"/>
        </w:tblCellMar>
      </w:tblPr>
      <w:tblGrid>
        <w:gridCol w:w="23"/>
        <w:gridCol w:w="170"/>
        <w:gridCol w:w="830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8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associated with new product development and the development of new product features;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currency exchange rates (such as changes in the exchange rate between the U.S. dollar and each of the euro, the Norwegian krone and the Canadian dollar and between the euro and the Norwegian krone) or possible disruptions to our business resulting from uncertainties associated with the euro or other currencies;</w:t>
            </w:r>
          </w:p>
        </w:tc>
      </w:tr>
    </w:tbl>
    <w:tbl>
      <w:tblPr>
        <w:tblW w:w="6573" w:type="dxa"/>
        <w:jc w:val="left"/>
        <w:tblInd w:w="0" w:type="dxa"/>
        <w:tblLayout w:type="fixed"/>
        <w:tblCellMar>
          <w:top w:w="0" w:type="dxa"/>
          <w:left w:w="0" w:type="dxa"/>
          <w:bottom w:w="0" w:type="dxa"/>
          <w:right w:w="0" w:type="dxa"/>
        </w:tblCellMar>
      </w:tblPr>
      <w:tblGrid>
        <w:gridCol w:w="23"/>
        <w:gridCol w:w="170"/>
        <w:gridCol w:w="638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6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to sell operating assets other than in the ordinary course of business;</w:t>
            </w:r>
          </w:p>
        </w:tc>
      </w:tr>
    </w:tbl>
    <w:tbl>
      <w:tblPr>
        <w:tblW w:w="4158" w:type="dxa"/>
        <w:jc w:val="left"/>
        <w:tblInd w:w="0" w:type="dxa"/>
        <w:tblLayout w:type="fixed"/>
        <w:tblCellMar>
          <w:top w:w="0" w:type="dxa"/>
          <w:left w:w="0" w:type="dxa"/>
          <w:bottom w:w="0" w:type="dxa"/>
          <w:right w:w="0" w:type="dxa"/>
        </w:tblCellMar>
      </w:tblPr>
      <w:tblGrid>
        <w:gridCol w:w="23"/>
        <w:gridCol w:w="170"/>
        <w:gridCol w:w="396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amounts of insurance recoveries;</w:t>
            </w:r>
          </w:p>
        </w:tc>
      </w:tr>
    </w:tbl>
    <w:tbl>
      <w:tblPr>
        <w:tblW w:w="7263" w:type="dxa"/>
        <w:jc w:val="left"/>
        <w:tblInd w:w="0" w:type="dxa"/>
        <w:tblLayout w:type="fixed"/>
        <w:tblCellMar>
          <w:top w:w="0" w:type="dxa"/>
          <w:left w:w="0" w:type="dxa"/>
          <w:bottom w:w="0" w:type="dxa"/>
          <w:right w:w="0" w:type="dxa"/>
        </w:tblCellMar>
      </w:tblPr>
      <w:tblGrid>
        <w:gridCol w:w="23"/>
        <w:gridCol w:w="170"/>
        <w:gridCol w:w="707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7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renew or refinance credit facilities or other debt instruments in the future;</w:t>
            </w:r>
          </w:p>
        </w:tc>
      </w:tr>
    </w:tbl>
    <w:tbl>
      <w:tblPr>
        <w:tblW w:w="2253" w:type="dxa"/>
        <w:jc w:val="left"/>
        <w:tblInd w:w="0" w:type="dxa"/>
        <w:tblLayout w:type="fixed"/>
        <w:tblCellMar>
          <w:top w:w="0" w:type="dxa"/>
          <w:left w:w="0" w:type="dxa"/>
          <w:bottom w:w="0" w:type="dxa"/>
          <w:right w:w="0" w:type="dxa"/>
        </w:tblCellMar>
      </w:tblPr>
      <w:tblGrid>
        <w:gridCol w:w="23"/>
        <w:gridCol w:w="170"/>
        <w:gridCol w:w="206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w:t>
            </w:r>
          </w:p>
        </w:tc>
      </w:tr>
    </w:tbl>
    <w:tbl>
      <w:tblPr>
        <w:tblW w:w="3708" w:type="dxa"/>
        <w:jc w:val="left"/>
        <w:tblInd w:w="0" w:type="dxa"/>
        <w:tblLayout w:type="fixed"/>
        <w:tblCellMar>
          <w:top w:w="0" w:type="dxa"/>
          <w:left w:w="0" w:type="dxa"/>
          <w:bottom w:w="0" w:type="dxa"/>
          <w:right w:w="0" w:type="dxa"/>
        </w:tblCellMar>
      </w:tblPr>
      <w:tblGrid>
        <w:gridCol w:w="23"/>
        <w:gridCol w:w="170"/>
        <w:gridCol w:w="351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sufficient liquidity;</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 3 of 6</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ab/>
      </w:r>
      <w:r>
        <w:rPr>
          <w:rFonts w:ascii="Times New Roman;Times;serif" w:hAnsi="Times New Roman;Times;serif"/>
          <w:sz w:val="20"/>
        </w:rPr>
        <w:t>​</w:t>
      </w:r>
      <w:r>
        <mc:AlternateContent>
          <mc:Choice Requires="wps">
            <w:drawing>
              <wp:anchor behindDoc="0" distT="0" distB="0" distL="0" distR="0" simplePos="0" locked="0" layoutInCell="1" allowOverlap="1" relativeHeight="8">
                <wp:simplePos x="0" y="0"/>
                <wp:positionH relativeFrom="page">
                  <wp:posOffset>0</wp:posOffset>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pPr>
                      <w:r>
                        <w:t>‌</w:t>
                      </w:r>
                    </w:p>
                  </w:txbxContent>
                </v:textbox>
                <w10:wrap type="none"/>
              </v:rect>
            </w:pict>
          </mc:Fallback>
        </mc:AlternateContent>
      </w:r>
    </w:p>
    <w:tbl>
      <w:tblPr>
        <w:tblW w:w="9738" w:type="dxa"/>
        <w:jc w:val="left"/>
        <w:tblInd w:w="0" w:type="dxa"/>
        <w:tblLayout w:type="fixed"/>
        <w:tblCellMar>
          <w:top w:w="0" w:type="dxa"/>
          <w:left w:w="0" w:type="dxa"/>
          <w:bottom w:w="0" w:type="dxa"/>
          <w:right w:w="0" w:type="dxa"/>
        </w:tblCellMar>
      </w:tblPr>
      <w:tblGrid>
        <w:gridCol w:w="23"/>
        <w:gridCol w:w="170"/>
        <w:gridCol w:w="954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9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outcome of income tax audits, tax settlement initiatives or other tax matters, including future tax reform;</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utilize income tax attributes, the benefits of which may or may not have been recognized under the more-likely-than-not recognition criteria;</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 (such as those requiring compliance with emission and discharge standards for existing and new facilities, or new developments regarding environmental remediation or decommissioning obligations at sites related to our former operations);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pPr>
            <w:r>
              <w:rPr>
                <w:rFonts w:ascii="Times New Roman;Times;serif" w:hAnsi="Times New Roman;Times;serif"/>
                <w:b w:val="false"/>
                <w:i w:val="false"/>
                <w:caps w:val="false"/>
                <w:smallCaps w:val="false"/>
                <w:sz w:val="20"/>
              </w:rPr>
              <w:t>Government laws and regulations and possible changes therein (such as changes in government regulations which might impose various obligations on former manufacturers of lead pigment and lead-based paint, including NLI Holdings, with respect to asserted health concerns associated with the use of such products) including new environmental, sustainability, health and safety or other regulations (such as those seeking to limit or classify TiO</w:t>
            </w:r>
            <w:r>
              <w:rPr>
                <w:rFonts w:ascii="Times New Roman;Times;serif" w:hAnsi="Times New Roman;Times;serif"/>
                <w:b w:val="false"/>
                <w:i w:val="false"/>
                <w:caps w:val="false"/>
                <w:smallCaps w:val="false"/>
                <w:sz w:val="15"/>
              </w:rPr>
              <w:t xml:space="preserve">2 </w:t>
            </w:r>
            <w:r>
              <w:rPr>
                <w:rFonts w:ascii="Times New Roman;Times;serif" w:hAnsi="Times New Roman;Times;serif"/>
                <w:b w:val="false"/>
                <w:i w:val="false"/>
                <w:caps w:val="false"/>
                <w:smallCaps w:val="false"/>
                <w:sz w:val="20"/>
              </w:rPr>
              <w:t>or its use);</w:t>
            </w:r>
          </w:p>
        </w:tc>
      </w:tr>
    </w:tbl>
    <w:tbl>
      <w:tblPr>
        <w:tblW w:w="9198" w:type="dxa"/>
        <w:jc w:val="left"/>
        <w:tblInd w:w="0" w:type="dxa"/>
        <w:tblLayout w:type="fixed"/>
        <w:tblCellMar>
          <w:top w:w="0" w:type="dxa"/>
          <w:left w:w="0" w:type="dxa"/>
          <w:bottom w:w="0" w:type="dxa"/>
          <w:right w:w="0" w:type="dxa"/>
        </w:tblCellMar>
      </w:tblPr>
      <w:tblGrid>
        <w:gridCol w:w="23"/>
        <w:gridCol w:w="170"/>
        <w:gridCol w:w="900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9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resolution of pending litigation (such as NLI Holdings’ lead pigment and environmental matters);</w:t>
            </w:r>
          </w:p>
        </w:tc>
      </w:tr>
    </w:tbl>
    <w:tbl>
      <w:tblPr>
        <w:tblW w:w="7233" w:type="dxa"/>
        <w:jc w:val="left"/>
        <w:tblInd w:w="0" w:type="dxa"/>
        <w:tblLayout w:type="fixed"/>
        <w:tblCellMar>
          <w:top w:w="0" w:type="dxa"/>
          <w:left w:w="0" w:type="dxa"/>
          <w:bottom w:w="0" w:type="dxa"/>
          <w:right w:w="0" w:type="dxa"/>
        </w:tblCellMar>
      </w:tblPr>
      <w:tblGrid>
        <w:gridCol w:w="23"/>
        <w:gridCol w:w="170"/>
        <w:gridCol w:w="704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7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covenants contained in our revolving bank credit facilities;</w:t>
            </w:r>
          </w:p>
        </w:tc>
      </w:tr>
    </w:tbl>
    <w:tbl>
      <w:tblPr>
        <w:tblW w:w="6993" w:type="dxa"/>
        <w:jc w:val="left"/>
        <w:tblInd w:w="0" w:type="dxa"/>
        <w:tblLayout w:type="fixed"/>
        <w:tblCellMar>
          <w:top w:w="0" w:type="dxa"/>
          <w:left w:w="0" w:type="dxa"/>
          <w:bottom w:w="0" w:type="dxa"/>
          <w:right w:w="0" w:type="dxa"/>
        </w:tblCellMar>
      </w:tblPr>
      <w:tblGrid>
        <w:gridCol w:w="23"/>
        <w:gridCol w:w="170"/>
        <w:gridCol w:w="680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complete and comply with the conditions of our licenses and permits;</w:t>
            </w:r>
          </w:p>
        </w:tc>
      </w:tr>
    </w:tbl>
    <w:tbl>
      <w:tblPr>
        <w:tblW w:w="4878" w:type="dxa"/>
        <w:jc w:val="left"/>
        <w:tblInd w:w="0" w:type="dxa"/>
        <w:tblLayout w:type="fixed"/>
        <w:tblCellMar>
          <w:top w:w="0" w:type="dxa"/>
          <w:left w:w="0" w:type="dxa"/>
          <w:bottom w:w="0" w:type="dxa"/>
          <w:right w:w="0" w:type="dxa"/>
        </w:tblCellMar>
      </w:tblPr>
      <w:tblGrid>
        <w:gridCol w:w="23"/>
        <w:gridCol w:w="170"/>
        <w:gridCol w:w="468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4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construction costs in Henderson, Nevada;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pPr>
            <w: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or possible future litigation (such as litigation related to CompX’s use of certain permitted chemicals in its production process) or other actions.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Should one or more of these risks materialize (or the consequences of such development worsen), or should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Valhi, Inc. is engaged in the chemicals (TiO</w:t>
      </w:r>
      <w:r>
        <w:rPr>
          <w:rFonts w:ascii="Times New Roman;Times;serif" w:hAnsi="Times New Roman;Times;serif"/>
          <w:sz w:val="15"/>
        </w:rPr>
        <w:t>2</w:t>
      </w:r>
      <w:r>
        <w:rPr>
          <w:rFonts w:ascii="Times New Roman;Times;serif" w:hAnsi="Times New Roman;Times;serif"/>
          <w:sz w:val="20"/>
        </w:rPr>
        <w:t>), component products (security products, recreational marine components and custom fabricated metal parts) and real estate management and development industries.</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Investor Relations Contact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Bryan A. Hanley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Treasurer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 972-233-1700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 4 of 6</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ab/>
      </w:r>
      <w:r>
        <w:rPr>
          <w:rFonts w:ascii="Times New Roman;Times;serif" w:hAnsi="Times New Roman;Times;serif"/>
          <w:sz w:val="20"/>
        </w:rPr>
        <w:t>​</w:t>
      </w:r>
      <w:r>
        <mc:AlternateContent>
          <mc:Choice Requires="wps">
            <w:drawing>
              <wp:anchor behindDoc="0" distT="0" distB="0" distL="0" distR="0" simplePos="0" locked="0" layoutInCell="1" allowOverlap="1" relativeHeight="9">
                <wp:simplePos x="0" y="0"/>
                <wp:positionH relativeFrom="page">
                  <wp:posOffset>0</wp:posOffset>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pPr>
                      <w: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VALHI, INC. AND SUBSIDIARIES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CONDENSED SUMMARY OF OPERATIONS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 millions, except earnings per share)</w:t>
      </w:r>
    </w:p>
    <w:p>
      <w:pPr>
        <w:pStyle w:val="TextBody"/>
        <w:bidi w:val="0"/>
        <w:spacing w:before="0" w:after="24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5320"/>
        <w:gridCol w:w="346"/>
        <w:gridCol w:w="211"/>
        <w:gridCol w:w="584"/>
        <w:gridCol w:w="346"/>
        <w:gridCol w:w="211"/>
        <w:gridCol w:w="584"/>
        <w:gridCol w:w="346"/>
        <w:gridCol w:w="211"/>
        <w:gridCol w:w="721"/>
        <w:gridCol w:w="346"/>
        <w:gridCol w:w="211"/>
        <w:gridCol w:w="768"/>
      </w:tblGrid>
      <w:tr>
        <w:tc>
          <w:tcPr>
            <w:tcW w:w="5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378200" cy="175260"/>
                      <wp:effectExtent l="0" t="0" r="0" b="0"/>
                      <wp:wrapNone/>
                      <wp:docPr id="8" name="Frame7"/>
                      <a:graphic xmlns:a="http://schemas.openxmlformats.org/drawingml/2006/main">
                        <a:graphicData uri="http://schemas.microsoft.com/office/word/2010/wordprocessingShape">
                          <wps:wsp>
                            <wps:cNvSpPr txBox="1"/>
                            <wps:spPr>
                              <a:xfrm>
                                <a:off x="0" y="0"/>
                                <a:ext cx="337820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9"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0"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70840" cy="175260"/>
                      <wp:effectExtent l="0" t="0" r="0" b="0"/>
                      <wp:wrapNone/>
                      <wp:docPr id="11" name="Frame10"/>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3"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70840" cy="175260"/>
                      <wp:effectExtent l="0" t="0" r="0" b="0"/>
                      <wp:wrapNone/>
                      <wp:docPr id="14" name="Frame13"/>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5"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6"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57835" cy="175260"/>
                      <wp:effectExtent l="0" t="0" r="0" b="0"/>
                      <wp:wrapNone/>
                      <wp:docPr id="17" name="Frame1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8"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19"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87680" cy="175260"/>
                      <wp:effectExtent l="0" t="0" r="0" b="0"/>
                      <wp:wrapNone/>
                      <wp:docPr id="20" name="Frame19"/>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1"/>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pPr>
                            <w:r>
                              <w:t>​</w:t>
                            </w:r>
                          </w:p>
                        </w:txbxContent>
                      </v:textbox>
                      <w10:wrap type="none"/>
                    </v:rect>
                  </w:pict>
                </mc:Fallback>
              </mc:AlternateContent>
            </w:r>
          </w:p>
        </w:tc>
      </w:tr>
      <w:tr>
        <w:tc>
          <w:tcPr>
            <w:tcW w:w="5320"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1936"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1"/>
              <w:ind w:left="0" w:right="0" w:hanging="0"/>
              <w:jc w:val="left"/>
            </w:pPr>
            <w:r>
              <w:t>​</w:t>
            </w:r>
          </w:p>
        </w:tc>
        <w:tc>
          <w:tcPr>
            <w:tcW w:w="2257"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c>
          <w:tcPr>
            <w:tcW w:w="5320"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193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346" w:type="dxa"/>
            <w:tcBorders/>
            <w:vAlign w:val="center"/>
          </w:tcPr>
          <w:p>
            <w:pPr>
              <w:pStyle w:val="TableContents"/>
              <w:bidi w:val="0"/>
              <w:spacing w:before="0" w:after="1"/>
              <w:ind w:left="0" w:right="0" w:hanging="0"/>
              <w:jc w:val="left"/>
            </w:pPr>
            <w:r>
              <w:t>​</w:t>
            </w:r>
          </w:p>
        </w:tc>
        <w:tc>
          <w:tcPr>
            <w:tcW w:w="225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w:t>
            </w:r>
          </w:p>
        </w:tc>
      </w:tr>
      <w:tr>
        <w:tc>
          <w:tcPr>
            <w:tcW w:w="5320"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  ​ ​ ​</w:t>
            </w:r>
          </w:p>
        </w:tc>
        <w:tc>
          <w:tcPr>
            <w:tcW w:w="7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pPr>
            <w:r>
              <w:t>  ​ ​ ​</w:t>
            </w:r>
          </w:p>
        </w:tc>
        <w:tc>
          <w:tcPr>
            <w:tcW w:w="7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before="0" w:after="1"/>
              <w:ind w:left="0" w:right="0" w:hanging="0"/>
              <w:jc w:val="left"/>
            </w:pPr>
            <w: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pPr>
            <w:r>
              <w:t>  ​ ​ ​</w:t>
            </w:r>
          </w:p>
        </w:tc>
        <w:tc>
          <w:tcPr>
            <w:tcW w:w="9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r>
      <w:tr>
        <w:tc>
          <w:tcPr>
            <w:tcW w:w="532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sales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584"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584"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21"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68" w:type="dxa"/>
            <w:tcBorders/>
            <w:shd w:fill="CCEEFF" w:val="clear"/>
            <w:vAlign w:val="center"/>
          </w:tcPr>
          <w:p>
            <w:pPr>
              <w:pStyle w:val="TableContents"/>
              <w:bidi w:val="0"/>
              <w:spacing w:before="0" w:after="1"/>
              <w:ind w:left="0" w:right="0" w:hanging="0"/>
              <w:jc w:val="left"/>
            </w:pPr>
            <w:r>
              <w:t>​</w:t>
            </w:r>
          </w:p>
        </w:tc>
      </w:tr>
      <w:tr>
        <w:tc>
          <w:tcPr>
            <w:tcW w:w="5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Chemicals</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456.9</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541.1</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1,441.1</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1,609.0</w:t>
            </w:r>
          </w:p>
        </w:tc>
      </w:tr>
      <w:tr>
        <w:tc>
          <w:tcPr>
            <w:tcW w:w="5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Component products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44.0</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120.6</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128.2</w:t>
            </w:r>
          </w:p>
        </w:tc>
      </w:tr>
      <w:tr>
        <w:tc>
          <w:tcPr>
            <w:tcW w:w="5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management and development</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5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5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c>
          <w:tcPr>
            <w:tcW w:w="346" w:type="dxa"/>
            <w:tcBorders/>
            <w:vAlign w:val="center"/>
          </w:tcPr>
          <w:p>
            <w:pPr>
              <w:pStyle w:val="TableContents"/>
              <w:bidi w:val="0"/>
              <w:spacing w:before="0" w:after="1"/>
              <w:ind w:left="0" w:right="0" w:hanging="0"/>
              <w:jc w:val="left"/>
            </w:pPr>
            <w: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pPr>
            <w:r>
              <w:t>​</w:t>
            </w:r>
          </w:p>
        </w:tc>
        <w:tc>
          <w:tcPr>
            <w:tcW w:w="7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18.0</w:t>
            </w:r>
          </w:p>
        </w:tc>
      </w:tr>
      <w:tr>
        <w:tc>
          <w:tcPr>
            <w:tcW w:w="5320"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584"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584"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21"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68" w:type="dxa"/>
            <w:tcBorders/>
            <w:shd w:fill="CCEEFF" w:val="clear"/>
            <w:vAlign w:val="center"/>
          </w:tcPr>
          <w:p>
            <w:pPr>
              <w:pStyle w:val="TableContents"/>
              <w:bidi w:val="0"/>
              <w:spacing w:before="0" w:after="1"/>
              <w:ind w:left="0" w:right="0" w:hanging="0"/>
              <w:jc w:val="right"/>
            </w:pPr>
            <w:r>
              <w:t>​</w:t>
            </w:r>
          </w:p>
        </w:tc>
      </w:tr>
      <w:tr>
        <w:tc>
          <w:tcPr>
            <w:tcW w:w="5320" w:type="dxa"/>
            <w:tcBorders/>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Total net sales</w:t>
            </w:r>
          </w:p>
        </w:tc>
        <w:tc>
          <w:tcPr>
            <w:tcW w:w="346"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503.5</w:t>
            </w:r>
          </w:p>
        </w:tc>
        <w:tc>
          <w:tcPr>
            <w:tcW w:w="346"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589.0</w:t>
            </w:r>
          </w:p>
        </w:tc>
        <w:tc>
          <w:tcPr>
            <w:tcW w:w="346"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1,582.5</w:t>
            </w:r>
          </w:p>
        </w:tc>
        <w:tc>
          <w:tcPr>
            <w:tcW w:w="346" w:type="dxa"/>
            <w:tcBorders/>
            <w:vAlign w:val="center"/>
          </w:tcPr>
          <w:p>
            <w:pPr>
              <w:pStyle w:val="TableContents"/>
              <w:bidi w:val="0"/>
              <w:spacing w:before="0" w:after="1"/>
              <w:ind w:left="0" w:right="0" w:hanging="0"/>
              <w:jc w:val="left"/>
            </w:pPr>
            <w: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1,755.2</w:t>
            </w:r>
          </w:p>
        </w:tc>
      </w:tr>
      <w:tr>
        <w:tc>
          <w:tcPr>
            <w:tcW w:w="5320"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584"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584"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21"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68" w:type="dxa"/>
            <w:tcBorders/>
            <w:shd w:fill="CCEEFF" w:val="clear"/>
            <w:vAlign w:val="center"/>
          </w:tcPr>
          <w:p>
            <w:pPr>
              <w:pStyle w:val="TableContents"/>
              <w:bidi w:val="0"/>
              <w:spacing w:before="0" w:after="1"/>
              <w:ind w:left="0" w:right="0" w:hanging="0"/>
              <w:jc w:val="right"/>
            </w:pPr>
            <w:r>
              <w:t>​</w:t>
            </w:r>
          </w:p>
        </w:tc>
      </w:tr>
      <w:tr>
        <w:tc>
          <w:tcPr>
            <w:tcW w:w="532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income (loss)</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pPr>
            <w:r>
              <w:t>  ​</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pPr>
            <w:r>
              <w:t>  ​</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21" w:type="dxa"/>
            <w:tcBorders/>
            <w:vAlign w:val="center"/>
          </w:tcPr>
          <w:p>
            <w:pPr>
              <w:pStyle w:val="TableContents"/>
              <w:bidi w:val="0"/>
              <w:spacing w:before="0" w:after="1"/>
              <w:ind w:left="0" w:right="0" w:hanging="0"/>
              <w:jc w:val="right"/>
            </w:pPr>
            <w:r>
              <w:t>  ​</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68" w:type="dxa"/>
            <w:tcBorders/>
            <w:vAlign w:val="center"/>
          </w:tcPr>
          <w:p>
            <w:pPr>
              <w:pStyle w:val="TableContents"/>
              <w:bidi w:val="0"/>
              <w:spacing w:before="0" w:after="1"/>
              <w:ind w:left="0" w:right="0" w:hanging="0"/>
              <w:jc w:val="right"/>
            </w:pPr>
            <w:r>
              <w:t>  ​</w:t>
            </w:r>
          </w:p>
        </w:tc>
      </w:tr>
      <w:tr>
        <w:tc>
          <w:tcPr>
            <w:tcW w:w="5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Chemicals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60.5</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115.4</w:t>
            </w:r>
          </w:p>
        </w:tc>
      </w:tr>
      <w:tr>
        <w:tc>
          <w:tcPr>
            <w:tcW w:w="5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Component products</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6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22.4</w:t>
            </w:r>
          </w:p>
        </w:tc>
      </w:tr>
      <w:tr>
        <w:tc>
          <w:tcPr>
            <w:tcW w:w="5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management and development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5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5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7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30.2</w:t>
            </w:r>
          </w:p>
        </w:tc>
      </w:tr>
      <w:tr>
        <w:tc>
          <w:tcPr>
            <w:tcW w:w="5320"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21"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68" w:type="dxa"/>
            <w:tcBorders/>
            <w:vAlign w:val="center"/>
          </w:tcPr>
          <w:p>
            <w:pPr>
              <w:pStyle w:val="TableContents"/>
              <w:bidi w:val="0"/>
              <w:spacing w:before="0" w:after="1"/>
              <w:ind w:left="0" w:right="0" w:hanging="0"/>
              <w:jc w:val="right"/>
            </w:pPr>
            <w:r>
              <w:t>​</w:t>
            </w:r>
          </w:p>
        </w:tc>
      </w:tr>
      <w:tr>
        <w:tc>
          <w:tcPr>
            <w:tcW w:w="5320"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Total operating income</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67.4</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94.2</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168.0</w:t>
            </w:r>
          </w:p>
        </w:tc>
      </w:tr>
      <w:tr>
        <w:tc>
          <w:tcPr>
            <w:tcW w:w="5320"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21"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68" w:type="dxa"/>
            <w:tcBorders/>
            <w:vAlign w:val="center"/>
          </w:tcPr>
          <w:p>
            <w:pPr>
              <w:pStyle w:val="TableContents"/>
              <w:bidi w:val="0"/>
              <w:spacing w:before="0" w:after="1"/>
              <w:ind w:left="0" w:right="0" w:hanging="0"/>
              <w:jc w:val="right"/>
            </w:pPr>
            <w:r>
              <w:t>​</w:t>
            </w:r>
          </w:p>
        </w:tc>
      </w:tr>
      <w:tr>
        <w:tc>
          <w:tcPr>
            <w:tcW w:w="5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corporate items: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584" w:type="dxa"/>
            <w:tcBorders/>
            <w:shd w:fill="CCEEFF" w:val="clear"/>
            <w:vAlign w:val="center"/>
          </w:tcPr>
          <w:p>
            <w:pPr>
              <w:pStyle w:val="TableContents"/>
              <w:bidi w:val="0"/>
              <w:spacing w:before="0" w:after="1"/>
              <w:ind w:left="0" w:right="0" w:hanging="0"/>
              <w:jc w:val="right"/>
            </w:pPr>
            <w:r>
              <w:t>  ​</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584" w:type="dxa"/>
            <w:tcBorders/>
            <w:shd w:fill="CCEEFF" w:val="clear"/>
            <w:vAlign w:val="center"/>
          </w:tcPr>
          <w:p>
            <w:pPr>
              <w:pStyle w:val="TableContents"/>
              <w:bidi w:val="0"/>
              <w:spacing w:before="0" w:after="1"/>
              <w:ind w:left="0" w:right="0" w:hanging="0"/>
              <w:jc w:val="right"/>
            </w:pPr>
            <w:r>
              <w:t>  ​</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21" w:type="dxa"/>
            <w:tcBorders/>
            <w:shd w:fill="CCEEFF" w:val="clear"/>
            <w:vAlign w:val="center"/>
          </w:tcPr>
          <w:p>
            <w:pPr>
              <w:pStyle w:val="TableContents"/>
              <w:bidi w:val="0"/>
              <w:spacing w:before="0" w:after="1"/>
              <w:ind w:left="0" w:right="0" w:hanging="0"/>
              <w:jc w:val="right"/>
            </w:pPr>
            <w:r>
              <w:t>  ​</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68" w:type="dxa"/>
            <w:tcBorders/>
            <w:shd w:fill="CCEEFF" w:val="clear"/>
            <w:vAlign w:val="center"/>
          </w:tcPr>
          <w:p>
            <w:pPr>
              <w:pStyle w:val="TableContents"/>
              <w:bidi w:val="0"/>
              <w:spacing w:before="0" w:after="1"/>
              <w:ind w:left="0" w:right="0" w:hanging="0"/>
              <w:jc w:val="right"/>
            </w:pPr>
            <w:r>
              <w:t>  ​</w:t>
            </w:r>
          </w:p>
        </w:tc>
      </w:tr>
      <w:tr>
        <w:tc>
          <w:tcPr>
            <w:tcW w:w="5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and other</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6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11.6</w:t>
            </w:r>
          </w:p>
        </w:tc>
      </w:tr>
      <w:tr>
        <w:tc>
          <w:tcPr>
            <w:tcW w:w="5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remeasurement of earn-out liability</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584" w:type="dxa"/>
            <w:tcBorders/>
            <w:shd w:fill="CCEEFF" w:val="clear"/>
            <w:vAlign w:val="center"/>
          </w:tcPr>
          <w:p>
            <w:pPr>
              <w:pStyle w:val="TableContents"/>
              <w:bidi w:val="0"/>
              <w:spacing w:before="0" w:after="1"/>
              <w:ind w:left="0" w:right="0" w:hanging="0"/>
              <w:jc w:val="righ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68" w:type="dxa"/>
            <w:tcBorders/>
            <w:shd w:fill="CCEEFF" w:val="clear"/>
            <w:vAlign w:val="center"/>
          </w:tcPr>
          <w:p>
            <w:pPr>
              <w:pStyle w:val="TableContents"/>
              <w:bidi w:val="0"/>
              <w:spacing w:before="0" w:after="1"/>
              <w:ind w:left="0" w:right="0" w:hanging="0"/>
              <w:jc w:val="right"/>
            </w:pPr>
            <w:r>
              <w:t>—</w:t>
            </w:r>
          </w:p>
        </w:tc>
      </w:tr>
      <w:tr>
        <w:tc>
          <w:tcPr>
            <w:tcW w:w="5320"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components of net periodic pension and OPEB expense</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6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w:t>
            </w:r>
          </w:p>
        </w:tc>
      </w:tr>
      <w:tr>
        <w:tc>
          <w:tcPr>
            <w:tcW w:w="5320"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market value of Valhi common stock held by subsidiaries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w:t>
            </w:r>
          </w:p>
        </w:tc>
      </w:tr>
      <w:tr>
        <w:tc>
          <w:tcPr>
            <w:tcW w:w="5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expenses, net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6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(24.6)</w:t>
            </w:r>
          </w:p>
        </w:tc>
      </w:tr>
      <w:tr>
        <w:tc>
          <w:tcPr>
            <w:tcW w:w="5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5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5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(13.8)</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7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(43.2)</w:t>
            </w:r>
          </w:p>
        </w:tc>
      </w:tr>
      <w:tr>
        <w:tc>
          <w:tcPr>
            <w:tcW w:w="5320"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21"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68" w:type="dxa"/>
            <w:tcBorders/>
            <w:vAlign w:val="center"/>
          </w:tcPr>
          <w:p>
            <w:pPr>
              <w:pStyle w:val="TableContents"/>
              <w:bidi w:val="0"/>
              <w:spacing w:before="0" w:after="1"/>
              <w:ind w:left="0" w:right="0" w:hanging="0"/>
              <w:jc w:val="right"/>
            </w:pPr>
            <w:r>
              <w:t>​</w:t>
            </w:r>
          </w:p>
        </w:tc>
      </w:tr>
      <w:tr>
        <w:tc>
          <w:tcPr>
            <w:tcW w:w="5320"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Income (loss) before income taxes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48.8</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110.2</w:t>
            </w:r>
          </w:p>
        </w:tc>
      </w:tr>
      <w:tr>
        <w:tc>
          <w:tcPr>
            <w:tcW w:w="5320"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21"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68" w:type="dxa"/>
            <w:tcBorders/>
            <w:vAlign w:val="center"/>
          </w:tcPr>
          <w:p>
            <w:pPr>
              <w:pStyle w:val="TableContents"/>
              <w:bidi w:val="0"/>
              <w:spacing w:before="0" w:after="1"/>
              <w:ind w:left="0" w:right="0" w:hanging="0"/>
              <w:jc w:val="right"/>
            </w:pPr>
            <w:r>
              <w:t>​</w:t>
            </w:r>
          </w:p>
        </w:tc>
      </w:tr>
      <w:tr>
        <w:tc>
          <w:tcPr>
            <w:tcW w:w="5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Income tax expense </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5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5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8.0</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7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26.1</w:t>
            </w:r>
          </w:p>
        </w:tc>
      </w:tr>
      <w:tr>
        <w:tc>
          <w:tcPr>
            <w:tcW w:w="5320"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21"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68" w:type="dxa"/>
            <w:tcBorders/>
            <w:vAlign w:val="center"/>
          </w:tcPr>
          <w:p>
            <w:pPr>
              <w:pStyle w:val="TableContents"/>
              <w:bidi w:val="0"/>
              <w:spacing w:before="0" w:after="1"/>
              <w:ind w:left="0" w:right="0" w:hanging="0"/>
              <w:jc w:val="right"/>
            </w:pPr>
            <w:r>
              <w:t>​</w:t>
            </w:r>
          </w:p>
        </w:tc>
      </w:tr>
      <w:tr>
        <w:tc>
          <w:tcPr>
            <w:tcW w:w="5320"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Net income (loss)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58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40.8</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84.1</w:t>
            </w:r>
          </w:p>
        </w:tc>
      </w:tr>
      <w:tr>
        <w:tc>
          <w:tcPr>
            <w:tcW w:w="5320"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21"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68" w:type="dxa"/>
            <w:tcBorders/>
            <w:vAlign w:val="center"/>
          </w:tcPr>
          <w:p>
            <w:pPr>
              <w:pStyle w:val="TableContents"/>
              <w:bidi w:val="0"/>
              <w:spacing w:before="0" w:after="1"/>
              <w:ind w:left="0" w:right="0" w:hanging="0"/>
              <w:jc w:val="right"/>
            </w:pPr>
            <w:r>
              <w:t>​</w:t>
            </w:r>
          </w:p>
        </w:tc>
      </w:tr>
      <w:tr>
        <w:tc>
          <w:tcPr>
            <w:tcW w:w="5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 in net income of subsidiaries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5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5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pPr>
            <w:r>
              <w:t>​</w:t>
            </w:r>
          </w:p>
        </w:tc>
        <w:tc>
          <w:tcPr>
            <w:tcW w:w="7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29.6</w:t>
            </w:r>
          </w:p>
        </w:tc>
      </w:tr>
      <w:tr>
        <w:tc>
          <w:tcPr>
            <w:tcW w:w="5320"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21"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68" w:type="dxa"/>
            <w:tcBorders/>
            <w:vAlign w:val="center"/>
          </w:tcPr>
          <w:p>
            <w:pPr>
              <w:pStyle w:val="TableContents"/>
              <w:bidi w:val="0"/>
              <w:spacing w:before="0" w:after="1"/>
              <w:ind w:left="0" w:right="0" w:hanging="0"/>
              <w:jc w:val="right"/>
            </w:pPr>
            <w:r>
              <w:t>​</w:t>
            </w:r>
          </w:p>
        </w:tc>
      </w:tr>
      <w:tr>
        <w:tc>
          <w:tcPr>
            <w:tcW w:w="5320"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Net income (loss) attributable to Valhi stockholders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30.2</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54.5</w:t>
            </w:r>
          </w:p>
        </w:tc>
      </w:tr>
      <w:tr>
        <w:tc>
          <w:tcPr>
            <w:tcW w:w="5320" w:type="dxa"/>
            <w:tcBorders/>
            <w:vAlign w:val="center"/>
          </w:tcPr>
          <w:p>
            <w:pPr>
              <w:pStyle w:val="TableContents"/>
              <w:bidi w:val="0"/>
              <w:spacing w:before="0" w:after="1"/>
              <w:ind w:left="0" w:right="0" w:hanging="0"/>
              <w:jc w:val="lef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21" w:type="dxa"/>
            <w:tcBorders/>
            <w:vAlign w:val="center"/>
          </w:tcPr>
          <w:p>
            <w:pPr>
              <w:pStyle w:val="TableContents"/>
              <w:bidi w:val="0"/>
              <w:spacing w:before="0" w:after="1"/>
              <w:ind w:left="0" w:right="0" w:hanging="0"/>
              <w:jc w:val="right"/>
            </w:pPr>
            <w:r>
              <w:t>​</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68" w:type="dxa"/>
            <w:tcBorders/>
            <w:vAlign w:val="center"/>
          </w:tcPr>
          <w:p>
            <w:pPr>
              <w:pStyle w:val="TableContents"/>
              <w:bidi w:val="0"/>
              <w:spacing w:before="0" w:after="1"/>
              <w:ind w:left="0" w:right="0" w:hanging="0"/>
              <w:jc w:val="right"/>
            </w:pPr>
            <w:r>
              <w:t>​</w:t>
            </w:r>
          </w:p>
        </w:tc>
      </w:tr>
      <w:tr>
        <w:tc>
          <w:tcPr>
            <w:tcW w:w="5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attributable to Valhi stockholders:</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584" w:type="dxa"/>
            <w:tcBorders/>
            <w:shd w:fill="CCEEFF" w:val="clear"/>
            <w:vAlign w:val="center"/>
          </w:tcPr>
          <w:p>
            <w:pPr>
              <w:pStyle w:val="TableContents"/>
              <w:bidi w:val="0"/>
              <w:spacing w:before="0" w:after="1"/>
              <w:ind w:left="0" w:right="0" w:hanging="0"/>
              <w:jc w:val="right"/>
            </w:pPr>
            <w:r>
              <w:t>  ​</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584" w:type="dxa"/>
            <w:tcBorders/>
            <w:shd w:fill="CCEEFF" w:val="clear"/>
            <w:vAlign w:val="center"/>
          </w:tcPr>
          <w:p>
            <w:pPr>
              <w:pStyle w:val="TableContents"/>
              <w:bidi w:val="0"/>
              <w:spacing w:before="0" w:after="1"/>
              <w:ind w:left="0" w:right="0" w:hanging="0"/>
              <w:jc w:val="right"/>
            </w:pPr>
            <w:r>
              <w:t>  ​</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21" w:type="dxa"/>
            <w:tcBorders/>
            <w:shd w:fill="CCEEFF" w:val="clear"/>
            <w:vAlign w:val="center"/>
          </w:tcPr>
          <w:p>
            <w:pPr>
              <w:pStyle w:val="TableContents"/>
              <w:bidi w:val="0"/>
              <w:spacing w:before="0" w:after="1"/>
              <w:ind w:left="0" w:right="0" w:hanging="0"/>
              <w:jc w:val="right"/>
            </w:pPr>
            <w:r>
              <w:t>  ​</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68" w:type="dxa"/>
            <w:tcBorders/>
            <w:shd w:fill="CCEEFF" w:val="clear"/>
            <w:vAlign w:val="center"/>
          </w:tcPr>
          <w:p>
            <w:pPr>
              <w:pStyle w:val="TableContents"/>
              <w:bidi w:val="0"/>
              <w:spacing w:before="0" w:after="1"/>
              <w:ind w:left="0" w:right="0" w:hanging="0"/>
              <w:jc w:val="right"/>
            </w:pPr>
            <w:r>
              <w:t>  ​</w:t>
            </w:r>
          </w:p>
        </w:tc>
      </w:tr>
      <w:tr>
        <w:tc>
          <w:tcPr>
            <w:tcW w:w="5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net income (loss) per share</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 xml:space="preserve">1.06 </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8"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 xml:space="preserve">1.91 </w:t>
            </w:r>
          </w:p>
        </w:tc>
      </w:tr>
      <w:tr>
        <w:tc>
          <w:tcPr>
            <w:tcW w:w="5320"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584"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584"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21" w:type="dxa"/>
            <w:tcBorders/>
            <w:shd w:fill="CCEEFF" w:val="clear"/>
            <w:vAlign w:val="center"/>
          </w:tcPr>
          <w:p>
            <w:pPr>
              <w:pStyle w:val="TableContents"/>
              <w:bidi w:val="0"/>
              <w:spacing w:before="0" w:after="1"/>
              <w:ind w:left="0" w:right="0" w:hanging="0"/>
              <w:jc w:val="left"/>
            </w:pPr>
            <w:r>
              <w:t>​</w:t>
            </w:r>
          </w:p>
        </w:tc>
        <w:tc>
          <w:tcPr>
            <w:tcW w:w="346" w:type="dxa"/>
            <w:tcBorders/>
            <w:shd w:fill="CCEEFF" w:val="clear"/>
            <w:vAlign w:val="center"/>
          </w:tcPr>
          <w:p>
            <w:pPr>
              <w:pStyle w:val="TableContents"/>
              <w:bidi w:val="0"/>
              <w:spacing w:before="0" w:after="1"/>
              <w:ind w:left="0" w:right="0" w:hanging="0"/>
              <w:jc w:val="left"/>
            </w:pPr>
            <w:r>
              <w:t>​</w:t>
            </w:r>
          </w:p>
        </w:tc>
        <w:tc>
          <w:tcPr>
            <w:tcW w:w="211" w:type="dxa"/>
            <w:tcBorders/>
            <w:shd w:fill="CCEEFF" w:val="clear"/>
            <w:vAlign w:val="center"/>
          </w:tcPr>
          <w:p>
            <w:pPr>
              <w:pStyle w:val="TableContents"/>
              <w:bidi w:val="0"/>
              <w:spacing w:before="0" w:after="1"/>
              <w:ind w:left="0" w:right="0" w:hanging="0"/>
              <w:jc w:val="left"/>
            </w:pPr>
            <w:r>
              <w:t>​</w:t>
            </w:r>
          </w:p>
        </w:tc>
        <w:tc>
          <w:tcPr>
            <w:tcW w:w="768" w:type="dxa"/>
            <w:tcBorders/>
            <w:shd w:fill="CCEEFF" w:val="clear"/>
            <w:vAlign w:val="center"/>
          </w:tcPr>
          <w:p>
            <w:pPr>
              <w:pStyle w:val="TableContents"/>
              <w:bidi w:val="0"/>
              <w:spacing w:before="0" w:after="1"/>
              <w:ind w:left="0" w:right="0" w:hanging="0"/>
              <w:jc w:val="left"/>
            </w:pPr>
            <w:r>
              <w:t>​</w:t>
            </w:r>
          </w:p>
        </w:tc>
      </w:tr>
      <w:tr>
        <w:tc>
          <w:tcPr>
            <w:tcW w:w="53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weighted average shares outstanding</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58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28.6</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c>
          <w:tcPr>
            <w:tcW w:w="346" w:type="dxa"/>
            <w:tcBorders/>
            <w:vAlign w:val="center"/>
          </w:tcPr>
          <w:p>
            <w:pPr>
              <w:pStyle w:val="TableContents"/>
              <w:bidi w:val="0"/>
              <w:spacing w:before="0" w:after="1"/>
              <w:ind w:left="0" w:right="0" w:hanging="0"/>
              <w:jc w:val="left"/>
            </w:pPr>
            <w:r>
              <w:t>​</w:t>
            </w:r>
          </w:p>
        </w:tc>
        <w:tc>
          <w:tcPr>
            <w:tcW w:w="211" w:type="dxa"/>
            <w:tcBorders/>
            <w:vAlign w:val="center"/>
          </w:tcPr>
          <w:p>
            <w:pPr>
              <w:pStyle w:val="TableContents"/>
              <w:bidi w:val="0"/>
              <w:spacing w:before="0" w:after="1"/>
              <w:ind w:left="0" w:right="0" w:hanging="0"/>
              <w:jc w:val="left"/>
            </w:pPr>
            <w:r>
              <w:t>​</w:t>
            </w:r>
          </w:p>
        </w:tc>
        <w:tc>
          <w:tcPr>
            <w:tcW w:w="768" w:type="dxa"/>
            <w:tcBorders/>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28.6</w:t>
            </w:r>
          </w:p>
        </w:tc>
      </w:tr>
    </w:tbl>
    <w:p>
      <w:pPr>
        <w:pStyle w:val="TextBody"/>
        <w:bidi w:val="0"/>
        <w:spacing w:before="0" w:after="240"/>
        <w:ind w:left="0" w:right="0" w:hanging="0"/>
        <w:jc w:val="left"/>
      </w:pPr>
      <w:r>
        <w:t>​</w:t>
      </w:r>
    </w:p>
    <w:p>
      <w:pPr>
        <w:pStyle w:val="TextBody"/>
        <w:bidi w:val="0"/>
        <w:spacing w:before="0" w:after="240"/>
        <w:ind w:left="0" w:right="0" w:hanging="0"/>
        <w:jc w:val="left"/>
      </w:pPr>
      <w:r>
        <w:t>​</w:t>
      </w:r>
    </w:p>
    <w:p>
      <w:pPr>
        <w:pStyle w:val="TextBody"/>
        <w:bidi w:val="0"/>
        <w:spacing w:before="0" w:after="240"/>
        <w:ind w:left="0" w:right="0" w:hanging="0"/>
        <w:jc w:val="left"/>
      </w:pPr>
      <w:r>
        <w:t>​</w:t>
      </w:r>
    </w:p>
    <w:p>
      <w:pPr>
        <w:pStyle w:val="TextBody"/>
        <w:bidi w:val="0"/>
        <w:spacing w:before="0" w:after="240"/>
        <w:ind w:left="0" w:right="0" w:hanging="0"/>
        <w:jc w:val="left"/>
      </w:pPr>
      <w:r>
        <w:t>​</w:t>
      </w:r>
    </w:p>
    <w:p>
      <w:pPr>
        <w:pStyle w:val="TextBody"/>
        <w:bidi w:val="0"/>
        <w:spacing w:before="0" w:after="240"/>
        <w:ind w:left="0" w:right="0" w:hanging="0"/>
        <w:jc w:val="left"/>
      </w:pPr>
      <w:r>
        <w:t>​</w:t>
      </w:r>
    </w:p>
    <w:p>
      <w:pPr>
        <w:pStyle w:val="TextBody"/>
        <w:bidi w:val="0"/>
        <w:spacing w:before="0" w:after="240"/>
        <w:ind w:left="0" w:right="0" w:hanging="0"/>
        <w:jc w:val="left"/>
      </w:pPr>
      <w:r>
        <w:t>​</w:t>
      </w:r>
    </w:p>
    <w:p>
      <w:pPr>
        <w:pStyle w:val="TextBody"/>
        <w:bidi w:val="0"/>
        <w:spacing w:before="0" w:after="240"/>
        <w:ind w:left="0" w:right="0" w:hanging="0"/>
        <w:jc w:val="left"/>
      </w:pPr>
      <w:r>
        <w:t>​</w:t>
      </w:r>
    </w:p>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 5 of 6</w:t>
      </w:r>
    </w:p>
    <w:p>
      <w:pPr>
        <w:pStyle w:val="HorizontalLine"/>
        <w:pBdr>
          <w:bottom w:val="double" w:sz="2" w:space="0" w:color="808080"/>
        </w:pBdr>
        <w:bidi w:val="0"/>
        <w:spacing w:before="0" w:after="283"/>
        <w:jc w:val="left"/>
      </w:p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ab/>
      </w:r>
      <w:r>
        <w:rPr>
          <w:rFonts w:ascii="Times New Roman;Times;serif" w:hAnsi="Times New Roman;Times;serif"/>
          <w:sz w:val="20"/>
        </w:rPr>
        <w:t>​</w:t>
      </w:r>
      <w:r>
        <mc:AlternateContent>
          <mc:Choice Requires="wps">
            <w:drawing>
              <wp:anchor behindDoc="0" distT="0" distB="0" distL="0" distR="0" simplePos="0" locked="0" layoutInCell="1" allowOverlap="1" relativeHeight="23">
                <wp:simplePos x="0" y="0"/>
                <wp:positionH relativeFrom="page">
                  <wp:posOffset>0</wp:posOffset>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pPr>
                      <w:r>
                        <w:t>‌</w:t>
                      </w:r>
                    </w:p>
                  </w:txbxContent>
                </v:textbox>
                <w10:wrap type="none"/>
              </v:rect>
            </w:pict>
          </mc:Fallback>
        </mc:AlternateConten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VALHI, INC. AND SUBSIDIARIES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IMPACT OF PERCENTAGE CHANGE IN CHEMICAL SEGMENT'S NET SALES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pPr>
      <w:r>
        <w:t>​</w:t>
      </w:r>
    </w:p>
    <w:tbl>
      <w:tblPr>
        <w:tblW w:w="7919" w:type="dxa"/>
        <w:jc w:val="left"/>
        <w:tblInd w:w="0" w:type="dxa"/>
        <w:tblLayout w:type="fixed"/>
        <w:tblCellMar>
          <w:top w:w="0" w:type="dxa"/>
          <w:left w:w="0" w:type="dxa"/>
          <w:bottom w:w="0" w:type="dxa"/>
          <w:right w:w="0" w:type="dxa"/>
        </w:tblCellMar>
      </w:tblPr>
      <w:tblGrid>
        <w:gridCol w:w="3076"/>
        <w:gridCol w:w="109"/>
        <w:gridCol w:w="1816"/>
        <w:gridCol w:w="361"/>
        <w:gridCol w:w="346"/>
        <w:gridCol w:w="109"/>
        <w:gridCol w:w="1696"/>
        <w:gridCol w:w="406"/>
      </w:tblGrid>
      <w:tr>
        <w:tc>
          <w:tcPr>
            <w:tcW w:w="307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215" cy="175260"/>
                      <wp:effectExtent l="0" t="0" r="0" b="0"/>
                      <wp:wrapNone/>
                      <wp:docPr id="22"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816" w:type="dxa"/>
            <w:tcBorders/>
            <w:vAlign w:val="center"/>
          </w:tcPr>
          <w:p>
            <w:pPr>
              <w:pStyle w:val="TableContents"/>
              <w:bidi w:val="0"/>
              <w:spacing w:before="0" w:after="0"/>
              <w:ind w:left="0" w:right="0" w:hanging="0"/>
              <w:jc w:val="left"/>
            </w:pPr>
            <w:r>
              <w:t>​</w:t>
            </w:r>
          </w:p>
        </w:tc>
        <w:tc>
          <w:tcPr>
            <w:tcW w:w="3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175260"/>
                      <wp:effectExtent l="0" t="0" r="0" b="0"/>
                      <wp:wrapNone/>
                      <wp:docPr id="23" name="Frame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696"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r>
      <w:tr>
        <w:tc>
          <w:tcPr>
            <w:tcW w:w="307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36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  ​ ​ ​</w:t>
            </w:r>
          </w:p>
        </w:tc>
        <w:tc>
          <w:tcPr>
            <w:tcW w:w="109" w:type="dxa"/>
            <w:tcBorders/>
            <w:vAlign w:val="center"/>
          </w:tcPr>
          <w:p>
            <w:pPr>
              <w:pStyle w:val="TableContents"/>
              <w:bidi w:val="0"/>
              <w:spacing w:before="0" w:after="0"/>
              <w:ind w:left="0" w:right="0" w:hanging="0"/>
              <w:jc w:val="left"/>
            </w:pPr>
            <w:r>
              <w:t>​</w:t>
            </w:r>
          </w:p>
        </w:tc>
        <w:tc>
          <w:tcPr>
            <w:tcW w:w="16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c>
          <w:tcPr>
            <w:tcW w:w="406" w:type="dxa"/>
            <w:tcBorders/>
            <w:vAlign w:val="center"/>
          </w:tcPr>
          <w:p>
            <w:pPr>
              <w:pStyle w:val="TableContents"/>
              <w:bidi w:val="0"/>
              <w:spacing w:before="0" w:after="0"/>
              <w:ind w:left="0" w:right="0" w:hanging="0"/>
              <w:jc w:val="center"/>
            </w:pPr>
            <w:r>
              <w:t>​</w:t>
            </w:r>
          </w:p>
        </w:tc>
      </w:tr>
      <w:tr>
        <w:tc>
          <w:tcPr>
            <w:tcW w:w="307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36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6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406" w:type="dxa"/>
            <w:tcBorders/>
            <w:vAlign w:val="center"/>
          </w:tcPr>
          <w:p>
            <w:pPr>
              <w:pStyle w:val="TableContents"/>
              <w:bidi w:val="0"/>
              <w:spacing w:before="0" w:after="0"/>
              <w:ind w:left="0" w:right="0" w:hanging="0"/>
              <w:jc w:val="center"/>
            </w:pPr>
            <w:r>
              <w:t>​</w:t>
            </w:r>
          </w:p>
        </w:tc>
      </w:tr>
      <w:tr>
        <w:tc>
          <w:tcPr>
            <w:tcW w:w="307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8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 vs. 2025</w:t>
            </w:r>
          </w:p>
        </w:tc>
        <w:tc>
          <w:tcPr>
            <w:tcW w:w="361" w:type="dxa"/>
            <w:tcBorders/>
            <w:vAlign w:val="center"/>
          </w:tcPr>
          <w:p>
            <w:pPr>
              <w:pStyle w:val="TableContents"/>
              <w:bidi w:val="0"/>
              <w:spacing w:before="0" w:after="0"/>
              <w:ind w:left="0" w:right="0" w:hanging="0"/>
              <w:jc w:val="center"/>
            </w:pPr>
            <w:r>
              <w:t>​</w:t>
            </w:r>
          </w:p>
        </w:tc>
        <w:tc>
          <w:tcPr>
            <w:tcW w:w="34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6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 vs. 2025</w:t>
            </w:r>
          </w:p>
        </w:tc>
        <w:tc>
          <w:tcPr>
            <w:tcW w:w="406" w:type="dxa"/>
            <w:tcBorders/>
            <w:vAlign w:val="center"/>
          </w:tcPr>
          <w:p>
            <w:pPr>
              <w:pStyle w:val="TableContents"/>
              <w:bidi w:val="0"/>
              <w:spacing w:before="0" w:after="0"/>
              <w:ind w:left="0" w:right="0" w:hanging="0"/>
              <w:jc w:val="center"/>
            </w:pPr>
            <w:r>
              <w:t>​</w:t>
            </w:r>
          </w:p>
        </w:tc>
      </w:tr>
      <w:t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Percentage change in TiO</w:t>
            </w:r>
            <w:r>
              <w:rPr>
                <w:rFonts w:ascii="Times New Roman;Times;serif" w:hAnsi="Times New Roman;Times;serif"/>
                <w:sz w:val="15"/>
              </w:rPr>
              <w:t>2</w:t>
            </w:r>
            <w:r>
              <w:rPr>
                <w:rFonts w:ascii="Times New Roman;Times;serif" w:hAnsi="Times New Roman;Times;serif"/>
                <w:sz w:val="20"/>
              </w:rPr>
              <w:t xml:space="preserve"> net sales:</w:t>
            </w:r>
          </w:p>
        </w:tc>
        <w:tc>
          <w:tcPr>
            <w:tcW w:w="109" w:type="dxa"/>
            <w:tcBorders/>
            <w:shd w:fill="CCEEFF" w:val="clear"/>
            <w:vAlign w:val="center"/>
          </w:tcPr>
          <w:p>
            <w:pPr>
              <w:pStyle w:val="TableContents"/>
              <w:bidi w:val="0"/>
              <w:spacing w:before="0" w:after="0"/>
              <w:ind w:left="0" w:right="0" w:hanging="0"/>
              <w:jc w:val="left"/>
            </w:pPr>
            <w:r>
              <w:t>​</w:t>
            </w:r>
          </w:p>
        </w:tc>
        <w:tc>
          <w:tcPr>
            <w:tcW w:w="1816" w:type="dxa"/>
            <w:tcBorders/>
            <w:shd w:fill="CCEEFF" w:val="clear"/>
            <w:vAlign w:val="center"/>
          </w:tcPr>
          <w:p>
            <w:pPr>
              <w:pStyle w:val="TableContents"/>
              <w:bidi w:val="0"/>
              <w:spacing w:before="0" w:after="0"/>
              <w:ind w:left="0" w:right="0" w:hanging="0"/>
              <w:jc w:val="right"/>
            </w:pPr>
            <w:r>
              <w:t>  ​</w:t>
            </w:r>
          </w:p>
        </w:tc>
        <w:tc>
          <w:tcPr>
            <w:tcW w:w="36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1696" w:type="dxa"/>
            <w:tcBorders/>
            <w:shd w:fill="CCEEFF" w:val="clear"/>
            <w:vAlign w:val="center"/>
          </w:tcPr>
          <w:p>
            <w:pPr>
              <w:pStyle w:val="TableContents"/>
              <w:bidi w:val="0"/>
              <w:spacing w:before="0" w:after="0"/>
              <w:ind w:left="0" w:right="0" w:hanging="0"/>
              <w:jc w:val="right"/>
            </w:pPr>
            <w:r>
              <w:t>  ​</w:t>
            </w:r>
          </w:p>
        </w:tc>
        <w:tc>
          <w:tcPr>
            <w:tcW w:w="406" w:type="dxa"/>
            <w:tcBorders/>
            <w:shd w:fill="CCEEFF" w:val="clear"/>
            <w:vAlign w:val="center"/>
          </w:tcPr>
          <w:p>
            <w:pPr>
              <w:pStyle w:val="TableContents"/>
              <w:bidi w:val="0"/>
              <w:spacing w:before="0" w:after="0"/>
              <w:ind w:left="0" w:right="0" w:hanging="0"/>
              <w:jc w:val="left"/>
            </w:pPr>
            <w:r>
              <w:t>​</w:t>
            </w:r>
          </w:p>
        </w:tc>
      </w:tr>
      <w:t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sales volumes</w:t>
            </w:r>
          </w:p>
        </w:tc>
        <w:tc>
          <w:tcPr>
            <w:tcW w:w="109" w:type="dxa"/>
            <w:tcBorders/>
            <w:vAlign w:val="center"/>
          </w:tcPr>
          <w:p>
            <w:pPr>
              <w:pStyle w:val="TableContents"/>
              <w:bidi w:val="0"/>
              <w:spacing w:before="0" w:after="0"/>
              <w:ind w:left="0" w:right="0" w:hanging="0"/>
              <w:jc w:val="left"/>
            </w:pPr>
            <w:r>
              <w:t>​</w:t>
            </w:r>
          </w:p>
        </w:tc>
        <w:tc>
          <w:tcPr>
            <w:tcW w:w="1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6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product pricing</w:t>
            </w:r>
          </w:p>
        </w:tc>
        <w:tc>
          <w:tcPr>
            <w:tcW w:w="109" w:type="dxa"/>
            <w:tcBorders/>
            <w:shd w:fill="CCEEFF" w:val="clear"/>
            <w:vAlign w:val="center"/>
          </w:tcPr>
          <w:p>
            <w:pPr>
              <w:pStyle w:val="TableContents"/>
              <w:bidi w:val="0"/>
              <w:spacing w:before="0" w:after="0"/>
              <w:ind w:left="0" w:right="0" w:hanging="0"/>
              <w:jc w:val="left"/>
            </w:pPr>
            <w:r>
              <w:t>​</w:t>
            </w:r>
          </w:p>
        </w:tc>
        <w:tc>
          <w:tcPr>
            <w:tcW w:w="1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16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06" w:type="dxa"/>
            <w:tcBorders/>
            <w:shd w:fill="CCEEFF" w:val="clear"/>
            <w:vAlign w:val="center"/>
          </w:tcPr>
          <w:p>
            <w:pPr>
              <w:pStyle w:val="TableContents"/>
              <w:bidi w:val="0"/>
              <w:spacing w:before="0" w:after="0"/>
              <w:ind w:left="0" w:right="0" w:hanging="0"/>
              <w:jc w:val="left"/>
            </w:pPr>
            <w:r>
              <w:t>​</w:t>
            </w:r>
          </w:p>
        </w:tc>
      </w:tr>
      <w:t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product mix/other</w:t>
            </w:r>
          </w:p>
        </w:tc>
        <w:tc>
          <w:tcPr>
            <w:tcW w:w="109" w:type="dxa"/>
            <w:tcBorders/>
            <w:vAlign w:val="center"/>
          </w:tcPr>
          <w:p>
            <w:pPr>
              <w:pStyle w:val="TableContents"/>
              <w:bidi w:val="0"/>
              <w:spacing w:before="0" w:after="0"/>
              <w:ind w:left="0" w:right="0" w:hanging="0"/>
              <w:jc w:val="left"/>
            </w:pPr>
            <w:r>
              <w:t>​</w:t>
            </w:r>
          </w:p>
        </w:tc>
        <w:tc>
          <w:tcPr>
            <w:tcW w:w="1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6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06" w:type="dxa"/>
            <w:tcBorders/>
            <w:vAlign w:val="center"/>
          </w:tcPr>
          <w:p>
            <w:pPr>
              <w:pStyle w:val="TableContents"/>
              <w:bidi w:val="0"/>
              <w:spacing w:before="0" w:after="0"/>
              <w:ind w:left="0" w:right="0" w:hanging="0"/>
              <w:jc w:val="left"/>
            </w:pPr>
            <w:r>
              <w:t>​</w:t>
            </w:r>
          </w:p>
        </w:tc>
      </w:tr>
      <w:t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currency exchange rates</w:t>
            </w:r>
          </w:p>
        </w:tc>
        <w:tc>
          <w:tcPr>
            <w:tcW w:w="109" w:type="dxa"/>
            <w:tcBorders/>
            <w:shd w:fill="CCEEFF" w:val="clear"/>
            <w:vAlign w:val="center"/>
          </w:tcPr>
          <w:p>
            <w:pPr>
              <w:pStyle w:val="TableContents"/>
              <w:bidi w:val="0"/>
              <w:spacing w:before="0" w:after="0"/>
              <w:ind w:left="0" w:right="0" w:hanging="0"/>
              <w:jc w:val="left"/>
            </w:pPr>
            <w:r>
              <w:t>​</w:t>
            </w:r>
          </w:p>
        </w:tc>
        <w:tc>
          <w:tcPr>
            <w:tcW w:w="1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pPr>
            <w:r>
              <w:t>—</w:t>
            </w:r>
          </w:p>
        </w:tc>
        <w:tc>
          <w:tcPr>
            <w:tcW w:w="361" w:type="dxa"/>
            <w:tcBorders/>
            <w:shd w:fill="CCEEFF" w:val="clear"/>
            <w:vAlign w:val="center"/>
          </w:tcPr>
          <w:p>
            <w:pPr>
              <w:pStyle w:val="TableContents"/>
              <w:bidi w:val="0"/>
              <w:spacing w:before="0" w:after="0"/>
              <w:ind w:left="0" w:right="0" w:hanging="0"/>
              <w:jc w:val="left"/>
            </w:pPr>
            <w:r>
              <w:t>​</w:t>
            </w:r>
          </w:p>
        </w:tc>
        <w:tc>
          <w:tcPr>
            <w:tcW w:w="346"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1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06" w:type="dxa"/>
            <w:tcBorders/>
            <w:shd w:fill="CCEEFF" w:val="clear"/>
            <w:vAlign w:val="center"/>
          </w:tcPr>
          <w:p>
            <w:pPr>
              <w:pStyle w:val="TableContents"/>
              <w:bidi w:val="0"/>
              <w:spacing w:before="0" w:after="0"/>
              <w:ind w:left="0" w:right="0" w:hanging="0"/>
              <w:jc w:val="left"/>
            </w:pPr>
            <w:r>
              <w:t>​</w:t>
            </w:r>
          </w:p>
        </w:tc>
      </w:tr>
      <w:tr>
        <w:tc>
          <w:tcPr>
            <w:tcW w:w="307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816" w:type="dxa"/>
            <w:tcBorders/>
            <w:vAlign w:val="center"/>
          </w:tcPr>
          <w:p>
            <w:pPr>
              <w:pStyle w:val="TableContents"/>
              <w:bidi w:val="0"/>
              <w:spacing w:before="0" w:after="0"/>
              <w:ind w:left="0" w:right="0" w:hanging="0"/>
              <w:jc w:val="left"/>
            </w:pPr>
            <w:r>
              <w:t>​</w:t>
            </w:r>
          </w:p>
        </w:tc>
        <w:tc>
          <w:tcPr>
            <w:tcW w:w="361" w:type="dxa"/>
            <w:tcBorders/>
            <w:vAlign w:val="center"/>
          </w:tcPr>
          <w:p>
            <w:pPr>
              <w:pStyle w:val="TableContents"/>
              <w:bidi w:val="0"/>
              <w:spacing w:before="0" w:after="0"/>
              <w:ind w:left="0" w:right="0" w:hanging="0"/>
              <w:jc w:val="left"/>
            </w:pPr>
            <w:r>
              <w:t>​</w:t>
            </w:r>
          </w:p>
        </w:tc>
        <w:tc>
          <w:tcPr>
            <w:tcW w:w="34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696" w:type="dxa"/>
            <w:tcBorders/>
            <w:vAlign w:val="center"/>
          </w:tcPr>
          <w:p>
            <w:pPr>
              <w:pStyle w:val="TableContents"/>
              <w:bidi w:val="0"/>
              <w:spacing w:before="0" w:after="0"/>
              <w:ind w:left="0" w:right="0" w:hanging="0"/>
              <w:jc w:val="left"/>
            </w:pPr>
            <w:r>
              <w:t>​</w:t>
            </w:r>
          </w:p>
        </w:tc>
        <w:tc>
          <w:tcPr>
            <w:tcW w:w="406" w:type="dxa"/>
            <w:tcBorders/>
            <w:vAlign w:val="center"/>
          </w:tcPr>
          <w:p>
            <w:pPr>
              <w:pStyle w:val="TableContents"/>
              <w:bidi w:val="0"/>
              <w:spacing w:before="0" w:after="0"/>
              <w:ind w:left="0" w:right="0" w:hanging="0"/>
              <w:jc w:val="left"/>
            </w:pPr>
            <w:r>
              <w:t>​</w:t>
            </w:r>
          </w:p>
        </w:tc>
      </w:tr>
      <w:t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pPr>
            <w:r>
              <w:t>​</w:t>
            </w:r>
          </w:p>
        </w:tc>
        <w:tc>
          <w:tcPr>
            <w:tcW w:w="1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46" w:type="dxa"/>
            <w:tcBorders/>
            <w:shd w:fill="CCEEFF" w:val="clear"/>
            <w:vAlign w:val="center"/>
          </w:tcPr>
          <w:p>
            <w:pPr>
              <w:pStyle w:val="TableContents"/>
              <w:bidi w:val="0"/>
              <w:spacing w:before="0" w:after="0"/>
              <w:ind w:left="0" w:right="0" w:hanging="0"/>
              <w:jc w:val="left"/>
            </w:pPr>
            <w:r>
              <w:t>​</w:t>
            </w:r>
          </w:p>
        </w:tc>
        <w:tc>
          <w:tcPr>
            <w:tcW w:w="109" w:type="dxa"/>
            <w:tcBorders/>
            <w:shd w:fill="CCEEFF" w:val="clear"/>
            <w:vAlign w:val="center"/>
          </w:tcPr>
          <w:p>
            <w:pPr>
              <w:pStyle w:val="TableContents"/>
              <w:bidi w:val="0"/>
              <w:spacing w:before="0" w:after="0"/>
              <w:ind w:left="0" w:right="0" w:hanging="0"/>
              <w:jc w:val="left"/>
            </w:pPr>
            <w:r>
              <w:t>​</w:t>
            </w:r>
          </w:p>
        </w:tc>
        <w:tc>
          <w:tcPr>
            <w:tcW w:w="16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 6 of 6</w:t>
      </w:r>
    </w:p>
    <w:p>
      <w:pPr>
        <w:pStyle w:val="HorizontalLine"/>
        <w:pBdr>
          <w:bottom w:val="double" w:sz="2" w:space="0" w:color="808080"/>
        </w:pBdr>
        <w:bidi w:val="0"/>
        <w:spacing w:before="0" w:after="283"/>
        <w:jc w:val="left"/>
      </w:pPr>
      <w:r/>
    </w:p>
    <w:p>
      <w:pPr>
        <w:pStyle w:val="Normal"/>
        <w:bidi w:val="0"/>
        <w:spacing w:before="0" w:after="0"/>
        <w:jc w:val="left"/>
        <w:rPr>
          <w:sz w:val="4"/>
          <w:szCs w:val="4"/>
        </w:rPr>
      </w:pPr>
      <w:r>
        <w:rPr>
          <w:sz w:val="4"/>
          <w:szCs w:val="4"/>
        </w:rPr>
      </w:r>
      <w:bookmarkStart w:id="45" w:name="vhl-ex99d2.htm"/>
      <w:bookmarkStart w:id="46" w:name="ksvhlex99d2"/>
      <w:bookmarkStart w:id="47" w:name="vhl-ex99d2.htm"/>
      <w:bookmarkStart w:id="48" w:name="ksvhlex99d2"/>
      <w:bookmarkEnd w:id="47"/>
      <w:bookmarkEnd w:id="48"/>
      <w:r>
        <w:br w:type="page"/>
      </w:r>
    </w:p>
    <w:tbl>
      <w:tblPr>
        <w:tblW w:w="2276" w:type="dxa"/>
        <w:jc w:val="left"/>
        <w:tblInd w:w="0" w:type="dxa"/>
        <w:tblLayout w:type="fixed"/>
        <w:tblCellMar>
          <w:top w:w="0" w:type="dxa"/>
          <w:left w:w="0" w:type="dxa"/>
          <w:bottom w:w="0" w:type="dxa"/>
          <w:right w:w="0" w:type="dxa"/>
        </w:tblCellMar>
      </w:tblPr>
      <w:tblGrid>
        <w:gridCol w:w="2276"/>
      </w:tblGrid>
      <w:tr>
        <w:tc>
          <w:tcPr>
            <w:tcW w:w="2276" w:type="dxa"/>
            <w:tcBorders/>
            <w:vAlign w:val="center"/>
          </w:tcPr>
          <w:p>
            <w:pPr>
              <w:pStyle w:val="TableContents"/>
              <w:bidi w:val="0"/>
              <w:spacing w:before="0" w:after="0"/>
              <w:ind w:left="0" w:right="0" w:hanging="0"/>
              <w:jc w:val="both"/>
            </w:pPr>
            <w:r>
              <w:t>​</w:t>
            </w:r>
          </w:p>
        </w:tc>
      </w:tr>
      <w:tr>
        <w:tc>
          <w:tcPr>
            <w:tcW w:w="2276" w:type="dxa"/>
            <w:tcBorders/>
            <w:vAlign w:val="center"/>
          </w:tcPr>
          <w:p>
            <w:pPr>
              <w:pStyle w:val="TableContents"/>
              <w:bidi w:val="0"/>
              <w:spacing w:before="0" w:after="0"/>
              <w:ind w:left="0" w:right="0" w:hanging="0"/>
              <w:jc w:val="both"/>
            </w:pPr>
            <w:r>
              <w:t>​</w:t>
            </w:r>
          </w:p>
        </w:tc>
      </w:tr>
      <w:tr>
        <w:tc>
          <w:tcPr>
            <w:tcW w:w="2276" w:type="dxa"/>
            <w:tcBorders/>
            <w:vAlign w:val="center"/>
          </w:tcPr>
          <w:p>
            <w:pPr>
              <w:pStyle w:val="TableContents"/>
              <w:bidi w:val="0"/>
              <w:spacing w:before="0" w:after="0"/>
              <w:ind w:left="0" w:right="0" w:hanging="0"/>
              <w:jc w:val="center"/>
            </w:pPr>
            <w:r>
              <w:drawing>
                <wp:inline distT="0" distB="0" distL="0" distR="0">
                  <wp:extent cx="1352550" cy="811530"/>
                  <wp:effectExtent l="0" t="0" r="0" b="0"/>
                  <wp:docPr id="2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 descr=""/>
                          <pic:cNvPicPr>
                            <a:picLocks noChangeAspect="1" noChangeArrowheads="1"/>
                          </pic:cNvPicPr>
                        </pic:nvPicPr>
                        <pic:blipFill>
                          <a:blip r:embed="rId3"/>
                          <a:stretch>
                            <a:fillRect/>
                          </a:stretch>
                        </pic:blipFill>
                        <pic:spPr bwMode="auto">
                          <a:xfrm>
                            <a:off x="0" y="0"/>
                            <a:ext cx="1352550" cy="811530"/>
                          </a:xfrm>
                          <a:prstGeom prst="rect">
                            <a:avLst/>
                          </a:prstGeom>
                        </pic:spPr>
                      </pic:pic>
                    </a:graphicData>
                  </a:graphic>
                </wp:inline>
              </w:drawing>
            </w:r>
          </w:p>
        </w:tc>
      </w:tr>
    </w:tbl>
    <w:p>
      <w:pPr>
        <w:pStyle w:val="TextBody"/>
        <w:bidi w:val="0"/>
        <w:spacing w:before="0" w:after="0"/>
        <w:ind w:left="0" w:right="0" w:hanging="0"/>
        <w:jc w:val="both"/>
      </w:pPr>
      <w:r>
        <w:t>​</w:t>
      </w:r>
    </w:p>
    <w:p>
      <w:pPr>
        <w:pStyle w:val="TextBody"/>
        <w:bidi w:val="0"/>
        <w:spacing w:before="0" w:after="120"/>
        <w:ind w:left="0" w:right="0" w:hanging="0"/>
        <w:jc w:val="center"/>
        <w:rPr>
          <w:rFonts w:ascii="Times New Roman;Times;serif" w:hAnsi="Times New Roman;Times;serif"/>
          <w:b/>
          <w:spacing w:val="-2"/>
          <w:sz w:val="24"/>
        </w:rPr>
      </w:pPr>
      <w:r>
        <w:rPr>
          <w:rFonts w:ascii="Times New Roman;Times;serif" w:hAnsi="Times New Roman;Times;serif"/>
          <w:b/>
          <w:spacing w:val="-2"/>
          <w:sz w:val="24"/>
        </w:rPr>
        <w:t>VALHI DECLARES QUARTERLY DIVIDEND</w:t>
      </w:r>
    </w:p>
    <w:p>
      <w:pPr>
        <w:pStyle w:val="TextBody"/>
        <w:bidi w:val="0"/>
        <w:spacing w:before="0" w:after="0"/>
        <w:ind w:left="0" w:right="0" w:hanging="0"/>
        <w:jc w:val="center"/>
        <w:rPr>
          <w:spacing w:val="-2"/>
        </w:rPr>
      </w:pPr>
      <w:r>
        <w:rPr>
          <w:spacing w:val="-2"/>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DALLAS, TEXAS . . . November 5, 2026 . . . Valhi, Inc. (NYSE:  VHI) announced today that its board of directors has declared a regular quarterly dividend of eight cents ($0.08) per share on its common stock, payable on December 17, 2026 to stockholders of record at the close of business on November 19, 2026.</w:t>
      </w:r>
    </w:p>
    <w:p>
      <w:pPr>
        <w:pStyle w:val="TextBody"/>
        <w:bidi w:val="0"/>
        <w:spacing w:before="0" w:after="0"/>
        <w:ind w:left="0" w:right="0" w:firstLine="720"/>
        <w:jc w:val="both"/>
      </w:pPr>
      <w: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 xml:space="preserve">Valhi, Inc. is engaged in the chemicals </w:t>
      </w:r>
      <w:r>
        <w:rPr>
          <w:rFonts w:ascii="Times New Roman;Times;serif" w:hAnsi="Times New Roman;Times;serif"/>
          <w:sz w:val="24"/>
          <w:shd w:fill="FFFFFF" w:val="clear"/>
        </w:rPr>
        <w:t>(TiO</w:t>
      </w:r>
      <w:r>
        <w:rPr>
          <w:rFonts w:ascii="Times New Roman;Times;serif" w:hAnsi="Times New Roman;Times;serif"/>
          <w:sz w:val="18"/>
          <w:shd w:fill="FFFFFF" w:val="clear"/>
        </w:rPr>
        <w:t>2</w:t>
      </w:r>
      <w:r>
        <w:rPr>
          <w:rFonts w:ascii="Times New Roman;Times;serif" w:hAnsi="Times New Roman;Times;serif"/>
          <w:sz w:val="24"/>
          <w:shd w:fill="FFFFFF" w:val="clear"/>
        </w:rPr>
        <w:t>)</w:t>
      </w:r>
      <w:r>
        <w:rPr>
          <w:rFonts w:ascii="Times New Roman;Times;serif" w:hAnsi="Times New Roman;Times;serif"/>
          <w:sz w:val="24"/>
        </w:rPr>
        <w:t xml:space="preserve">, component products (security products, recreational marine components and custom fabricated metal parts) </w:t>
      </w:r>
      <w:r>
        <w:rPr>
          <w:rFonts w:ascii="Times New Roman;Times;serif" w:hAnsi="Times New Roman;Times;serif"/>
          <w:spacing w:val="-2"/>
          <w:sz w:val="24"/>
        </w:rPr>
        <w:t>and real estate management and development industries</w:t>
      </w:r>
      <w:r>
        <w:rPr>
          <w:rFonts w:ascii="Times New Roman;Times;serif" w:hAnsi="Times New Roman;Times;serif"/>
          <w:sz w:val="24"/>
        </w:rPr>
        <w:t>.</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center"/>
        <w:rPr>
          <w:rFonts w:ascii="Times New Roman;Times;serif" w:hAnsi="Times New Roman;Times;serif"/>
          <w:spacing w:val="-2"/>
          <w:sz w:val="22"/>
        </w:rPr>
      </w:pPr>
      <w:r>
        <w:rPr>
          <w:rFonts w:ascii="Times New Roman;Times;serif" w:hAnsi="Times New Roman;Times;serif"/>
          <w:spacing w:val="-2"/>
          <w:sz w:val="22"/>
        </w:rPr>
        <w:t>* * * * *</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both"/>
      </w:pPr>
      <w: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Tel. 972-233-1700</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3500</Words>
  <Characters>18896</Characters>
  <CharactersWithSpaces>22690</CharactersWithSpaces>
  <Paragraphs>909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