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92710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95250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88" w:lineRule="exact"/>
        <w:rPr>
          <w:sz w:val="24"/>
          <w:szCs w:val="24"/>
          <w:color w:val="auto"/>
        </w:rPr>
      </w:pPr>
    </w:p>
    <w:p>
      <w:pPr>
        <w:ind w:left="1880" w:hanging="285"/>
        <w:spacing w:after="0"/>
        <w:tabs>
          <w:tab w:leader="none" w:pos="18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21"/>
          <w:szCs w:val="21"/>
          <w:b w:val="1"/>
          <w:bCs w:val="1"/>
          <w:color w:val="auto"/>
        </w:rPr>
        <w:t>QUARTERLY REPORT PURSUANT TO SECTION 13 OR 15(d) OF</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1880" w:hanging="292"/>
        <w:spacing w:after="0"/>
        <w:tabs>
          <w:tab w:leader="none" w:pos="18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21"/>
          <w:szCs w:val="21"/>
          <w:b w:val="1"/>
          <w:bCs w:val="1"/>
          <w:color w:val="auto"/>
        </w:rPr>
        <w:t>TRANSITION REPORT PURSUANT TO SECTION 13 OR 15(d) OF</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5" w:lineRule="exact"/>
        <w:rPr>
          <w:sz w:val="24"/>
          <w:szCs w:val="24"/>
          <w:color w:val="auto"/>
        </w:rPr>
      </w:pPr>
    </w:p>
    <w:p>
      <w:pPr>
        <w:jc w:val="cente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1-5467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88265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VALHI, INC.</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88265</wp:posOffset>
            </wp:positionV>
            <wp:extent cx="1577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p>
      <w:pPr>
        <w:spacing w:after="0" w:line="200" w:lineRule="exact"/>
        <w:rPr>
          <w:sz w:val="24"/>
          <w:szCs w:val="24"/>
          <w:color w:val="auto"/>
        </w:rPr>
      </w:pPr>
    </w:p>
    <w:p>
      <w:pPr>
        <w:spacing w:after="0" w:line="201" w:lineRule="exact"/>
        <w:rPr>
          <w:sz w:val="24"/>
          <w:szCs w:val="24"/>
          <w:color w:val="auto"/>
        </w:rPr>
      </w:pPr>
    </w:p>
    <w:p>
      <w:pPr>
        <w:jc w:val="center"/>
        <w:ind w:left="1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both"/>
        <w:ind w:left="1300" w:firstLine="50"/>
        <w:spacing w:after="0" w:line="290" w:lineRule="auto"/>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87-0110150</w:t>
            </w:r>
          </w:p>
        </w:tc>
        <w:tc>
          <w:tcPr>
            <w:tcW w:w="0" w:type="dxa"/>
            <w:vAlign w:val="bottom"/>
          </w:tcPr>
          <w:p>
            <w:pPr>
              <w:spacing w:after="0"/>
              <w:rPr>
                <w:sz w:val="1"/>
                <w:szCs w:val="1"/>
                <w:color w:val="auto"/>
              </w:rPr>
            </w:pPr>
          </w:p>
        </w:tc>
      </w:tr>
      <w:tr>
        <w:trPr>
          <w:trHeight w:val="149"/>
        </w:trPr>
        <w:tc>
          <w:tcPr>
            <w:tcW w:w="266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(IRS Employer</w:t>
            </w: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275"/>
        </w:trPr>
        <w:tc>
          <w:tcPr>
            <w:tcW w:w="2660" w:type="dxa"/>
            <w:vAlign w:val="bottom"/>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5430 LBJ Freeway, Suite 1700</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660" w:type="dxa"/>
            <w:vAlign w:val="bottom"/>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Dallas, Texas 75240-2620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6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2">
            <w:col w:w="3640" w:space="160"/>
            <w:col w:w="6120"/>
          </w:cols>
          <w:pgMar w:left="980" w:top="661" w:right="9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233-1700</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303"/>
        </w:trPr>
        <w:tc>
          <w:tcPr>
            <w:tcW w:w="2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jc w:val="center"/>
              <w:ind w:right="704"/>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520" w:type="dxa"/>
            <w:vAlign w:val="bottom"/>
            <w:gridSpan w:val="2"/>
          </w:tcPr>
          <w:p>
            <w:pPr>
              <w:ind w:left="100"/>
              <w:spacing w:after="0" w:line="302"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6"/>
                <w:szCs w:val="16"/>
                <w:b w:val="1"/>
                <w:bCs w:val="1"/>
                <w:color w:val="auto"/>
              </w:rPr>
              <w:t xml:space="preserve">  Name of each exchange on which registered</w:t>
            </w:r>
          </w:p>
        </w:tc>
      </w:tr>
      <w:tr>
        <w:trPr>
          <w:trHeight w:val="182"/>
        </w:trPr>
        <w:tc>
          <w:tcPr>
            <w:tcW w:w="20" w:type="dxa"/>
            <w:vAlign w:val="bottom"/>
          </w:tcPr>
          <w:p>
            <w:pPr>
              <w:spacing w:after="0"/>
              <w:rPr>
                <w:sz w:val="15"/>
                <w:szCs w:val="15"/>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2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tcPr>
          <w:p>
            <w:pPr>
              <w:jc w:val="center"/>
              <w:ind w:right="724"/>
              <w:spacing w:after="0"/>
              <w:rPr>
                <w:sz w:val="20"/>
                <w:szCs w:val="20"/>
                <w:color w:val="auto"/>
              </w:rPr>
            </w:pPr>
            <w:r>
              <w:rPr>
                <w:rFonts w:ascii="Times New Roman" w:cs="Times New Roman" w:eastAsia="Times New Roman" w:hAnsi="Times New Roman"/>
                <w:sz w:val="14"/>
                <w:szCs w:val="14"/>
                <w:color w:val="auto"/>
              </w:rPr>
              <w:t>VHI</w:t>
            </w:r>
          </w:p>
        </w:tc>
        <w:tc>
          <w:tcPr>
            <w:tcW w:w="220" w:type="dxa"/>
            <w:vAlign w:val="bottom"/>
          </w:tcPr>
          <w:p>
            <w:pPr>
              <w:spacing w:after="0"/>
              <w:rPr>
                <w:sz w:val="15"/>
                <w:szCs w:val="15"/>
                <w:color w:val="auto"/>
              </w:rPr>
            </w:pPr>
          </w:p>
        </w:tc>
        <w:tc>
          <w:tcPr>
            <w:tcW w:w="330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NYSE</w:t>
            </w:r>
          </w:p>
        </w:tc>
      </w:tr>
    </w:tbl>
    <w:p>
      <w:pPr>
        <w:spacing w:after="0" w:line="4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27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220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27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98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27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2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59" w:lineRule="exact"/>
        <w:rPr>
          <w:sz w:val="24"/>
          <w:szCs w:val="24"/>
          <w:color w:val="auto"/>
        </w:rPr>
      </w:pPr>
    </w:p>
    <w:p>
      <w:pPr>
        <w:ind w:right="260"/>
        <w:spacing w:after="0" w:line="221"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Indicate by check mark whether the Registrant is a shell company (as defined in Rule 12b-2 of the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b w:val="1"/>
          <w:bCs w:val="1"/>
          <w:color w:val="auto"/>
        </w:rPr>
        <w:t>.</w:t>
      </w:r>
    </w:p>
    <w:p>
      <w:pPr>
        <w:spacing w:after="0" w:line="5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Number of shares of the registrant’s common stock, $.01 par value per share, outstanding on November 2, 2026: 28,321,193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784860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47625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90170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VALHI,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425"/>
        </w:trPr>
        <w:tc>
          <w:tcPr>
            <w:tcW w:w="90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40" w:type="dxa"/>
            <w:vAlign w:val="bottom"/>
          </w:tcPr>
          <w:p>
            <w:pPr>
              <w:spacing w:after="0"/>
              <w:rPr>
                <w:sz w:val="24"/>
                <w:szCs w:val="24"/>
                <w:color w:val="auto"/>
              </w:rPr>
            </w:pPr>
          </w:p>
        </w:tc>
      </w:tr>
      <w:tr>
        <w:trPr>
          <w:trHeight w:val="473"/>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7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840" w:type="dxa"/>
            <w:vAlign w:val="bottom"/>
          </w:tcPr>
          <w:p>
            <w:pPr>
              <w:spacing w:after="0"/>
              <w:rPr>
                <w:sz w:val="24"/>
                <w:szCs w:val="24"/>
                <w:color w:val="auto"/>
              </w:rPr>
            </w:pPr>
          </w:p>
        </w:tc>
      </w:tr>
      <w:tr>
        <w:trPr>
          <w:trHeight w:val="39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Condensed Consolidated Balance Sheets (unaudited) –</w:t>
            </w:r>
          </w:p>
        </w:tc>
        <w:tc>
          <w:tcPr>
            <w:tcW w:w="3700" w:type="dxa"/>
            <w:vAlign w:val="bottom"/>
            <w:gridSpan w:val="9"/>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December 31, 2025 and September 30, 2026</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(unaudited) –</w:t>
            </w:r>
          </w:p>
        </w:tc>
        <w:tc>
          <w:tcPr>
            <w:tcW w:w="296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Three and nine months ended September 30, 2025 and 2026</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(unaudited) –</w:t>
            </w:r>
          </w:p>
        </w:tc>
        <w:tc>
          <w:tcPr>
            <w:tcW w:w="15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Three and nine months ended September 30, 2025 and 2026</w:t>
            </w:r>
          </w:p>
        </w:tc>
        <w:tc>
          <w:tcPr>
            <w:tcW w:w="318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(unaudited) –</w:t>
            </w:r>
          </w:p>
        </w:tc>
        <w:tc>
          <w:tcPr>
            <w:tcW w:w="224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Three and nine months ended September 30, 2025 and 2026</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w:t>
            </w:r>
          </w:p>
        </w:tc>
        <w:tc>
          <w:tcPr>
            <w:tcW w:w="84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Nine months ended September 30, 2025 and 2026</w:t>
            </w:r>
          </w:p>
        </w:tc>
        <w:tc>
          <w:tcPr>
            <w:tcW w:w="960" w:type="dxa"/>
            <w:vAlign w:val="bottom"/>
            <w:tcBorders>
              <w:top w:val="single" w:sz="8" w:color="0000EE"/>
            </w:tcBorders>
            <w:gridSpan w:val="5"/>
          </w:tcPr>
          <w:p>
            <w:pPr>
              <w:spacing w:after="0"/>
              <w:rPr>
                <w:sz w:val="17"/>
                <w:szCs w:val="17"/>
                <w:color w:val="auto"/>
              </w:rPr>
            </w:pPr>
          </w:p>
        </w:tc>
        <w:tc>
          <w:tcPr>
            <w:tcW w:w="296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6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6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6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9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90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84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00" w:type="dxa"/>
            <w:vAlign w:val="bottom"/>
            <w:gridSpan w:val="2"/>
          </w:tcPr>
          <w:p>
            <w:pPr>
              <w:spacing w:after="0"/>
              <w:rPr>
                <w:sz w:val="24"/>
                <w:szCs w:val="24"/>
                <w:color w:val="auto"/>
              </w:rPr>
            </w:pPr>
          </w:p>
        </w:tc>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34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76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300" w:type="dxa"/>
            <w:vAlign w:val="bottom"/>
            <w:tcBorders>
              <w:top w:val="single" w:sz="8" w:color="0000EE"/>
            </w:tcBorders>
          </w:tcPr>
          <w:p>
            <w:pPr>
              <w:spacing w:after="0"/>
              <w:rPr>
                <w:sz w:val="24"/>
                <w:szCs w:val="24"/>
                <w:color w:val="auto"/>
              </w:rPr>
            </w:pPr>
          </w:p>
        </w:tc>
        <w:tc>
          <w:tcPr>
            <w:tcW w:w="678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 3, 4 and 5 of Part II are omitted because there is no information to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VALHI, INC. AND SUBSIDIARIES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1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1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1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12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120" w:type="dxa"/>
            <w:vAlign w:val="bottom"/>
          </w:tcPr>
          <w:p>
            <w:pPr>
              <w:ind w:left="59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5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1,259.1</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 receivables - Owner Participation Agreement ("OPA")</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Mining properties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jc w:val="center"/>
              <w:ind w:left="2430"/>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4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00" w:right="9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62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VALHI, INC. AND SUBSIDIARIES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(CONTINUED)</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0" w:type="dxa"/>
            <w:vAlign w:val="bottom"/>
          </w:tcPr>
          <w:p>
            <w:pPr>
              <w:ind w:left="6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Long-term debt (including affiliate debt of $77.3 million</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$59.0 million at December 31, 2025 and September 30, 2026, respectively)</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pension costs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environmental remediation and related costs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 at cost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Valhi stockholders' equity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Commitments and contingencies (Notes 2, 13 and 16)</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160"/>
          </w:cols>
          <w:pgMar w:left="880" w:top="500"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080" w:type="dxa"/>
            <w:vAlign w:val="bottom"/>
            <w:gridSpan w:val="5"/>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VALHI, INC. AND SUBSIDIARIES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20" w:type="dxa"/>
            <w:vAlign w:val="bottom"/>
            <w:gridSpan w:val="10"/>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80" w:type="dxa"/>
            <w:vAlign w:val="bottom"/>
            <w:gridSpan w:val="5"/>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and other income:</w:t>
            </w:r>
          </w:p>
        </w:tc>
        <w:tc>
          <w:tcPr>
            <w:tcW w:w="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80" w:type="dxa"/>
            <w:vAlign w:val="bottom"/>
          </w:tcPr>
          <w:p>
            <w:pPr>
              <w:spacing w:after="0"/>
              <w:rPr>
                <w:sz w:val="18"/>
                <w:szCs w:val="18"/>
                <w:color w:val="auto"/>
              </w:rPr>
            </w:pP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589.0</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and other expense (income):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remeasurement of earn-out liability</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Other components of net periodic pension and OPEB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8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cost and other expense</w:t>
            </w:r>
          </w:p>
        </w:tc>
        <w:tc>
          <w:tcPr>
            <w:tcW w:w="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Noncontrolling interest in net income of subsidiaries</w:t>
            </w:r>
          </w:p>
        </w:tc>
        <w:tc>
          <w:tcPr>
            <w:tcW w:w="8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 attributable to Valhi stockholders</w:t>
            </w:r>
          </w:p>
        </w:tc>
        <w:tc>
          <w:tcPr>
            <w:tcW w:w="840" w:type="dxa"/>
            <w:vAlign w:val="bottom"/>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attributable to Valhi stockholders: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0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00" w:right="9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80" w:type="dxa"/>
            <w:vAlign w:val="bottom"/>
            <w:tcBorders>
              <w:top w:val="single" w:sz="8" w:color="0000EE"/>
            </w:tcBorders>
          </w:tcPr>
          <w:p>
            <w:pPr>
              <w:spacing w:after="0"/>
              <w:rPr>
                <w:sz w:val="24"/>
                <w:szCs w:val="24"/>
                <w:color w:val="auto"/>
              </w:rPr>
            </w:pPr>
          </w:p>
        </w:tc>
        <w:tc>
          <w:tcPr>
            <w:tcW w:w="5080" w:type="dxa"/>
            <w:vAlign w:val="bottom"/>
            <w:gridSpan w:val="5"/>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VALHI, INC. AND SUBSIDIARIES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744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280" w:type="dxa"/>
            <w:vAlign w:val="bottom"/>
          </w:tcPr>
          <w:p>
            <w:pPr>
              <w:spacing w:after="0"/>
              <w:rPr>
                <w:sz w:val="24"/>
                <w:szCs w:val="24"/>
                <w:color w:val="auto"/>
              </w:rPr>
            </w:pPr>
          </w:p>
        </w:tc>
        <w:tc>
          <w:tcPr>
            <w:tcW w:w="4260" w:type="dxa"/>
            <w:vAlign w:val="bottom"/>
            <w:gridSpan w:val="3"/>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260" w:type="dxa"/>
            <w:vAlign w:val="bottom"/>
            <w:gridSpan w:val="3"/>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98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2020" w:type="dxa"/>
            <w:vAlign w:val="bottom"/>
            <w:gridSpan w:val="5"/>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gridSpan w:val="2"/>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translation</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other comprehensive income, net</w:t>
            </w:r>
          </w:p>
        </w:tc>
        <w:tc>
          <w:tcPr>
            <w:tcW w:w="4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Valhi stockholders</w:t>
            </w: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00" w:right="959" w:bottom="1440" w:gutter="0" w:footer="0" w:header="0"/>
        </w:sectPr>
      </w:pPr>
    </w:p>
    <w:bookmarkStart w:id="6" w:name="page7"/>
    <w:bookmarkEnd w:id="6"/>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VALHI,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 and 2026</w:t>
            </w: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interest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to noncontrolling interest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 $.08 per share</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to noncontrolling interest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 $.08 per share</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(49.6)</w:t>
            </w: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356.9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 2025 and 2026</w:t>
            </w: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interest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to noncontrolling interest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 $.24 per share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Equity transactions with noncontrolling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interest, net and other</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8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8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paid to noncontrolling 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 $.24 per share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transactions with noncontrolling interest,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and other</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671.</w:t>
            </w:r>
            <w:r>
              <w:rPr>
                <w:rFonts w:ascii="Times New Roman" w:cs="Times New Roman" w:eastAsia="Times New Roman" w:hAnsi="Times New Roman"/>
                <w:sz w:val="16"/>
                <w:szCs w:val="16"/>
                <w:b w:val="1"/>
                <w:bCs w:val="1"/>
                <w:u w:val="single" w:color="auto"/>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555.</w:t>
            </w:r>
            <w:r>
              <w:rPr>
                <w:rFonts w:ascii="Times New Roman" w:cs="Times New Roman" w:eastAsia="Times New Roman" w:hAnsi="Times New Roman"/>
                <w:sz w:val="16"/>
                <w:szCs w:val="16"/>
                <w:b w:val="1"/>
                <w:bCs w:val="1"/>
                <w:u w:val="single" w:color="auto"/>
                <w:color w:val="auto"/>
              </w:rPr>
              <w:t>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(49.6)</w:t>
            </w: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356.</w:t>
            </w:r>
            <w:r>
              <w:rPr>
                <w:rFonts w:ascii="Times New Roman" w:cs="Times New Roman" w:eastAsia="Times New Roman" w:hAnsi="Times New Roman"/>
                <w:sz w:val="16"/>
                <w:szCs w:val="16"/>
                <w:b w:val="1"/>
                <w:bCs w:val="1"/>
                <w:u w:val="single" w:color="auto"/>
                <w:color w:val="auto"/>
              </w:rPr>
              <w:t>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120"/>
          </w:cols>
          <w:pgMar w:left="880" w:top="513" w:right="8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8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VALHI, INC. AND SUBSIDIARIES</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2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80" w:type="dxa"/>
            <w:vAlign w:val="bottom"/>
          </w:tcPr>
          <w:p>
            <w:pPr>
              <w:jc w:val="center"/>
              <w:ind w:left="19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8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60" w:type="dxa"/>
            <w:vAlign w:val="bottom"/>
            <w:gridSpan w:val="6"/>
          </w:tcPr>
          <w:p>
            <w:pPr>
              <w:ind w:left="9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80" w:type="dxa"/>
            <w:vAlign w:val="bottom"/>
            <w:vMerge w:val="restart"/>
          </w:tcPr>
          <w:p>
            <w:pPr>
              <w:ind w:left="5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remeasurement of earn-out liability</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Premium on issuance of senior secured notes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 plan expense less than cash funding</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building sale</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 net</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Land held for development, net</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Accrued environmental remediation and related costs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with affiliates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3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disposal of marketable securities</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building sale</w:t>
            </w:r>
          </w:p>
        </w:tc>
        <w:tc>
          <w:tcPr>
            <w:tcW w:w="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Kronos revolving credit facility:</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Borrowings</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Payments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issuance on senior secured notes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Valhi cash dividends paid</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Distributions to noncontrolling interest in subsidiaries</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financing fees</w:t>
            </w:r>
          </w:p>
        </w:tc>
        <w:tc>
          <w:tcPr>
            <w:tcW w:w="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980" w:top="500"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00" w:right="9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VALHI,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(Unaudited)</w:t>
      </w:r>
    </w:p>
    <w:p>
      <w:pPr>
        <w:ind w:left="45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40" w:type="dxa"/>
            <w:vAlign w:val="bottom"/>
            <w:vMerge w:val="restart"/>
          </w:tcPr>
          <w:p>
            <w:pPr>
              <w:ind w:left="63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18"/>
                <w:szCs w:val="18"/>
                <w:color w:val="auto"/>
              </w:rPr>
            </w:pPr>
          </w:p>
        </w:tc>
        <w:tc>
          <w:tcPr>
            <w:tcW w:w="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 net change from:</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investing and financing activities</w:t>
            </w:r>
          </w:p>
        </w:tc>
        <w:tc>
          <w:tcPr>
            <w:tcW w:w="980" w:type="dxa"/>
            <w:vAlign w:val="bottom"/>
            <w:gridSpan w:val="2"/>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7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980" w:type="dxa"/>
            <w:vAlign w:val="bottom"/>
            <w:gridSpan w:val="2"/>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7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 net</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accruals for capital expenditures</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VALHI,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Organization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majority owned by a wholly-owned subsidiary of Contran Corporation (“Contran”), which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91% of our outstanding common stock at September 30, 2026.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September 30, 2026, Ms. Simmons and the Family Trust may be deemed to control Contran and 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 </w:t>
      </w:r>
      <w:r>
        <w:rPr>
          <w:rFonts w:ascii="Times New Roman" w:cs="Times New Roman" w:eastAsia="Times New Roman" w:hAnsi="Times New Roman"/>
          <w:sz w:val="18"/>
          <w:szCs w:val="18"/>
          <w:color w:val="auto"/>
        </w:rPr>
        <w:t>Consolidated in this Quarterly Report are the results of our wholly-owned and majority-owned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including NLI Holdings, Inc. (“NLI”) (formerly NL Industries, Inc.), Kronos Worldwide, Inc., CompX International Inc., Tremont LLC, Basic Management, Inc. (“BMI”) and The LandWell Company (“LandWell”). Kronos (NYSE: KRO), NLI Holdings, Inc. (NYSE: NL) and CompX (NYSE American: CIX) each file periodic reports with the Securities and Exchange Commission (“SEC”).</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in this Quarterly Report have been prepared on the same basis as the audited Consolidated Financial Statements included in our Annual Report on Form 10-K for the year ended December 31, 2025 that we filed with the SEC on March 10, 2026 (the “2025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2025 contained in this Quarterly Report as compared to our audited Consolidated Financial Statements at that date, and we have omitted certain information and footnote disclosures (including those related to the Consolidated Balance Sheet at December 31, 2025) normally included in financial statements prepared in accordance with accounting principles generally accepted in the United States of America (“GAAP”). Our results of operations for the interim periods ended September 30, 2026 may not be indicative of our operating results for the full year. The Condensed Consolidated Financial Statements contained in this Quarterly Report should be read in conjunction with our 2025 Consolidated Financial Statements contained in our 2025 Annual Report.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“us” or “our” refer to Valhi, Inc. and its subsidiaries (NYSE: VHI), taken as a whole.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 Business segment information:</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23"/>
        </w:trPr>
        <w:tc>
          <w:tcPr>
            <w:tcW w:w="4640" w:type="dxa"/>
            <w:vAlign w:val="bottom"/>
          </w:tcPr>
          <w:p>
            <w:pPr>
              <w:spacing w:after="0"/>
              <w:rPr>
                <w:sz w:val="24"/>
                <w:szCs w:val="24"/>
                <w:color w:val="auto"/>
              </w:rPr>
            </w:pP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 controlled at</w:t>
            </w:r>
          </w:p>
        </w:tc>
      </w:tr>
      <w:tr>
        <w:trPr>
          <w:trHeight w:val="238"/>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220" w:type="dxa"/>
            <w:vAlign w:val="bottom"/>
            <w:tcBorders>
              <w:bottom w:val="single" w:sz="8" w:color="CCEEFF"/>
            </w:tcBorders>
          </w:tcPr>
          <w:p>
            <w:pPr>
              <w:spacing w:after="0"/>
              <w:rPr>
                <w:sz w:val="20"/>
                <w:szCs w:val="20"/>
                <w:color w:val="auto"/>
              </w:rPr>
            </w:pPr>
          </w:p>
        </w:tc>
        <w:tc>
          <w:tcPr>
            <w:tcW w:w="23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 2026</w:t>
            </w: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Chemicals</w:t>
            </w: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Kronos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Component products</w:t>
            </w:r>
          </w:p>
        </w:tc>
        <w:tc>
          <w:tcPr>
            <w:tcW w:w="2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CompX</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2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BMI and LandWell</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 - 77%</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control of Kronos includes approximately 50% we hold directly and approximately 31% held directly by NLI. We own approximately 83% of NLI. Our control of CompX is through NLI. We own approximately 63% of BMI. Our control of LandWell includes the approximately 27% we hold directly and 50% held by BMI.</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chief operating decision maker (“CODM”) evaluates segment performance based on each segment’s operating income (loss), which is defined as income (loss) before income taxes and interest expense, exclusive of certain non-recurring items (such as gains or losses on disposition of business units and other long-lived assets outside the ordinary course of business and certain legal settlements) and certain general corporate income and expense items (including securities transactions gains and losses and interest and dividend income), which are not attributable to the operations of the reportable operating segments. Segment results we report may differ from amounts separately reported by our various subsidiaries due to purchase accounting adjustments and related amortization or</w:t>
      </w:r>
    </w:p>
    <w:p>
      <w:pPr>
        <w:sectPr>
          <w:pgSz w:w="11900" w:h="16838" w:orient="portrait"/>
          <w:cols w:equalWidth="0" w:num="1">
            <w:col w:w="9920"/>
          </w:cols>
          <w:pgMar w:left="980" w:top="513" w:right="99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differences in the way we define operating income (loss). Intersegment sales are not material. Interest income included in the calculation of segment operating income (loss) is not significant for the three and nine months ended September 30, 2025 and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8"/>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5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6"/>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38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net sales</w:t>
            </w: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24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589.0</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7"/>
        </w:trPr>
        <w:tc>
          <w:tcPr>
            <w:tcW w:w="55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380" w:type="dxa"/>
            <w:vAlign w:val="bottom"/>
            <w:tcBorders>
              <w:left w:val="single" w:sz="8" w:color="CCEEFF"/>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cost of sales</w:t>
            </w:r>
          </w:p>
        </w:tc>
        <w:tc>
          <w:tcPr>
            <w:tcW w:w="4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446.9</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gridSpan w:val="2"/>
          </w:tcPr>
          <w:p>
            <w:pPr>
              <w:spacing w:after="0"/>
              <w:rPr>
                <w:sz w:val="21"/>
                <w:szCs w:val="21"/>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8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gross margin</w:t>
            </w: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7"/>
        </w:trPr>
        <w:tc>
          <w:tcPr>
            <w:tcW w:w="55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80" w:type="dxa"/>
            <w:vAlign w:val="bottom"/>
            <w:tcBorders>
              <w:left w:val="single" w:sz="8" w:color="CCEEFF"/>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operating income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corporate items:</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remeasurement of earn-out liability</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components of net periodic pension and OPEB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market value of Valhi common stock held by subsidiaries</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expenses,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r>
              <w:rPr>
                <w:rFonts w:ascii="Times New Roman" w:cs="Times New Roman" w:eastAsia="Times New Roman" w:hAnsi="Times New Roman"/>
                <w:sz w:val="18"/>
                <w:szCs w:val="18"/>
                <w:b w:val="1"/>
                <w:bCs w:val="1"/>
                <w:u w:val="single" w:color="auto"/>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8"/>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gridSpan w:val="2"/>
          </w:tcPr>
          <w:p>
            <w:pPr>
              <w:jc w:val="right"/>
              <w:ind w:right="85"/>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ind w:left="30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tcBorders>
              <w:left w:val="single" w:sz="8" w:color="CCEEFF"/>
            </w:tcBorders>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Chemicals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Component products</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management and development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Borders>
              <w:top w:val="single" w:sz="8" w:color="CCEEFF"/>
              <w:left w:val="single" w:sz="8" w:color="CCEEFF"/>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Included in the determination of the Real Estate Management and Development Segment operating income are infrastructure reimbursements and a gain from the sale of a building. See Note 12. During the third quarter of 2025, our Chemicals Segment recognized a non-cash gain of $4.6 million from the remeasurement of an earn-out liability associated with its 2024 acquisition of the remaining ownership interest in Louisiana Pigment Company, L.P. ("LPC"). Based on management’s assessment that the performance thresholds required to trigger payment of the earn-out were no longer probable of being achieved, the estimated fair value of the earn-out liability was reduced to zero, resulting in the recognition of the gain. Additional information regarding the LPC acquisition is included in Note 3 to our Consolidated Financial Statements included in our Annual Report on Form 10-K for the year ended December 31, 2025.</w:t>
      </w:r>
    </w:p>
    <w:p>
      <w:pPr>
        <w:sectPr>
          <w:pgSz w:w="11900" w:h="16838" w:orient="portrait"/>
          <w:cols w:equalWidth="0" w:num="1">
            <w:col w:w="9960"/>
          </w:cols>
          <w:pgMar w:left="980" w:top="513"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3 – Accounts and other receivables, net:</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42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7"/>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11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Kronos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CompX</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BMI/LandWell</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and other receivables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from affiliates: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Contran - income taxes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Contran - trade items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Refundable income taxes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Inventories, net:</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4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42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7"/>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11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Chemicals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Component products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raw materials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Chemicals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Component products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in-process products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Chemicals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Component products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finished products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 (chemicals)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Marketable securities:</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Cost or</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5"/>
          </w:tcPr>
          <w:p>
            <w:pPr>
              <w:jc w:val="center"/>
              <w:ind w:right="93"/>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gain,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1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6.1</w:t>
            </w:r>
          </w:p>
        </w:tc>
        <w:tc>
          <w:tcPr>
            <w:tcW w:w="126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5.9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2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2.9</w:t>
            </w:r>
          </w:p>
        </w:tc>
        <w:tc>
          <w:tcPr>
            <w:tcW w:w="1260" w:type="dxa"/>
            <w:vAlign w:val="bottom"/>
            <w:gridSpan w:val="3"/>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6.7</w:t>
            </w:r>
          </w:p>
        </w:tc>
        <w:tc>
          <w:tcPr>
            <w:tcW w:w="1260" w:type="dxa"/>
            <w:vAlign w:val="bottom"/>
            <w:gridSpan w:val="3"/>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9960"/>
          </w:cols>
          <w:pgMar w:left="980" w:top="500" w:right="959" w:bottom="1440" w:gutter="0" w:footer="0" w:header="0"/>
        </w:sect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00" w:right="9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marketable securities consist of investments in marketable equity and debt securities. Our marketable equity securities are carried at fair value using quoted market prices, primarily Level 1 inputs as defined by ASC Topic 820, </w:t>
      </w:r>
      <w:r>
        <w:rPr>
          <w:rFonts w:ascii="Times New Roman" w:cs="Times New Roman" w:eastAsia="Times New Roman" w:hAnsi="Times New Roman"/>
          <w:sz w:val="18"/>
          <w:szCs w:val="18"/>
          <w:i w:val="1"/>
          <w:iCs w:val="1"/>
          <w:color w:val="auto"/>
        </w:rPr>
        <w:t>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with any unrealized gains or losses on the securities recognized in other income, net on our Condensed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 The fair value of our marketable debt securities is generally determined using Level 2 inputs because although these securities are traded in many cases, the market is not active and the quarter-end valuation is generally based on the last trade of the quarter, which may be several days prior to quarter end. We accumulate unrealized gains and losses on marketable debt securities as part of accumulated other comprehensive income (loss), net of related deferred income taxes. See Note 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Other noncurrent assets: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6640" w:type="dxa"/>
            <w:vAlign w:val="bottom"/>
          </w:tcPr>
          <w:p>
            <w:pPr>
              <w:ind w:left="65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420" w:type="dxa"/>
            <w:vAlign w:val="bottom"/>
            <w:gridSpan w:val="3"/>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6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6"/>
          </w:tcPr>
          <w:p>
            <w:pPr>
              <w:jc w:val="center"/>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4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IBNR receivables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Pension asset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affiliate:</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Contran - income taxes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Long-term debt:</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6640" w:type="dxa"/>
            <w:vAlign w:val="bottom"/>
          </w:tcPr>
          <w:p>
            <w:pPr>
              <w:ind w:left="64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20"/>
                <w:szCs w:val="20"/>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6"/>
          </w:tcPr>
          <w:p>
            <w:pPr>
              <w:jc w:val="center"/>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Valhi:</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Contran credit facility</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4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debt: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gridSpan w:val="4"/>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Kronos International, Inc. 9.50% Senior Secured Notes due 2029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Subordinated, Unsecured Term Loan from Contran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LandWell:</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Note payable to Western Alliance Business Trust</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subsidiary debt</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Valhi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Contran credit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During the first nine months of 2026, we had no borrowings and repaid $18.3 million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facility. The average interest rate on the credit facility for the nine months ended September 30, 2026 was 7.76%. At September 30, 2026, the interest rate was 8.0% and $119.7 million was available for borrowing under this facility.</w:t>
      </w:r>
    </w:p>
    <w:p>
      <w:pPr>
        <w:spacing w:after="0" w:line="171"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Kronos </w:t>
      </w:r>
      <w:r>
        <w:rPr>
          <w:rFonts w:ascii="Times New Roman" w:cs="Times New Roman" w:eastAsia="Times New Roman" w:hAnsi="Times New Roman"/>
          <w:sz w:val="18"/>
          <w:szCs w:val="18"/>
          <w:i w:val="1"/>
          <w:iCs w:val="1"/>
          <w:color w:val="auto"/>
        </w:rPr>
        <w:t>– 9.50% Senior Secured Notes due 2029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September 30, 2026, the carrying value of the 9.50% Senior 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due 2029 (€426.174 million aggregate principal amount outstanding) is stated net of $7.6 million of unamortized premium and $5.2 million of unamortized debt issuance costs (at December 31, 2025 the amounts were $9.0 million and $6.9 million, respectively).</w:t>
      </w:r>
    </w:p>
    <w:p>
      <w:pPr>
        <w:spacing w:after="0" w:line="173"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(the “Global Revolver”) – </w:t>
      </w:r>
      <w:r>
        <w:rPr>
          <w:rFonts w:ascii="Times New Roman" w:cs="Times New Roman" w:eastAsia="Times New Roman" w:hAnsi="Times New Roman"/>
          <w:sz w:val="18"/>
          <w:szCs w:val="18"/>
          <w:color w:val="auto"/>
        </w:rPr>
        <w:t>During the first nine months of 2026, Kronos borrowed and repaid $375.7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under its $350 million Global Revolver. The average interest rate on outstanding borrowings under this facility during the nine months ended September 30, 2026 was 5.6%. At September 30, 2026, there were no amounts outstanding under its Global Revolver. At September 30, 2026, Kronos had borrowing availability of approximately $254 million.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in compliance with all of our debt covenants at September 30, 2026.</w:t>
      </w:r>
    </w:p>
    <w:p>
      <w:pPr>
        <w:spacing w:after="0" w:line="1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Accounts payable and accrued liabilities: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700" w:type="dxa"/>
            <w:vAlign w:val="bottom"/>
          </w:tcPr>
          <w:p>
            <w:pPr>
              <w:ind w:left="55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20"/>
                <w:szCs w:val="20"/>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6"/>
          </w:tcPr>
          <w:p>
            <w:pPr>
              <w:jc w:val="center"/>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Kronos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CompX</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BMI/LandWell</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payable to 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to affiliates: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Contran - other</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development costs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sales discounts and rebates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cost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environmental</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See Note 18 for additional information related to accrued severance costs.</w:t>
            </w: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Other noncurrent liabilities: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5700" w:type="dxa"/>
            <w:vAlign w:val="bottom"/>
          </w:tcPr>
          <w:p>
            <w:pPr>
              <w:ind w:left="55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24"/>
                <w:szCs w:val="24"/>
                <w:color w:val="auto"/>
              </w:rPr>
            </w:pPr>
          </w:p>
        </w:tc>
        <w:tc>
          <w:tcPr>
            <w:tcW w:w="3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6"/>
          </w:tcPr>
          <w:p>
            <w:pPr>
              <w:jc w:val="center"/>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development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claims and expenses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13 for additional information related to the uncertain tax positions.</w:t>
      </w:r>
    </w:p>
    <w:p>
      <w:pPr>
        <w:spacing w:after="0" w:line="3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00" w:right="9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Revenue – disaggregation of sales: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disaggregates the net sales of our Chemicals Segment by place of manufacture (point of origin) and to the location of the customer (point of destination), which are the categories that depict how the nature, amount, timing and uncertainty of revenue and cash flows are affected by economic factors.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6"/>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40" w:type="dxa"/>
            <w:vAlign w:val="bottom"/>
            <w:vMerge w:val="restart"/>
          </w:tcPr>
          <w:p>
            <w:pPr>
              <w:ind w:left="45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2180" w:type="dxa"/>
            <w:vAlign w:val="bottom"/>
            <w:gridSpan w:val="6"/>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 point of origin: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291.0</w:t>
            </w:r>
          </w:p>
        </w:tc>
        <w:tc>
          <w:tcPr>
            <w:tcW w:w="100" w:type="dxa"/>
            <w:vAlign w:val="bottom"/>
          </w:tcPr>
          <w:p>
            <w:pPr>
              <w:spacing w:after="0"/>
              <w:rPr>
                <w:sz w:val="18"/>
                <w:szCs w:val="18"/>
                <w:color w:val="auto"/>
              </w:rPr>
            </w:pPr>
          </w:p>
        </w:tc>
        <w:tc>
          <w:tcPr>
            <w:tcW w:w="52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Norway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Belgium</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Eliminations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1,441.1</w:t>
            </w:r>
          </w:p>
        </w:tc>
        <w:tc>
          <w:tcPr>
            <w:tcW w:w="240" w:type="dxa"/>
            <w:vAlign w:val="bottom"/>
            <w:tcBorders>
              <w:bottom w:val="single" w:sz="8" w:color="CCEEFF"/>
            </w:tcBorders>
            <w:gridSpan w:val="2"/>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sales - point of destination: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3"/>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1,441.1</w:t>
            </w:r>
          </w:p>
        </w:tc>
        <w:tc>
          <w:tcPr>
            <w:tcW w:w="24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the net sales of our Component Products Segment by major product line.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6"/>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460" w:type="dxa"/>
            <w:vAlign w:val="bottom"/>
            <w:vMerge w:val="restart"/>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88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2180" w:type="dxa"/>
            <w:vAlign w:val="bottom"/>
            <w:gridSpan w:val="6"/>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vMerge w:val="continue"/>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480" w:type="dxa"/>
            <w:vAlign w:val="bottom"/>
            <w:tcBorders>
              <w:top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Security products</w:t>
            </w:r>
          </w:p>
        </w:tc>
        <w:tc>
          <w:tcPr>
            <w:tcW w:w="17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31.7</w:t>
            </w:r>
          </w:p>
        </w:tc>
        <w:tc>
          <w:tcPr>
            <w:tcW w:w="6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4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Marine components</w:t>
            </w:r>
          </w:p>
        </w:tc>
        <w:tc>
          <w:tcPr>
            <w:tcW w:w="1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12.3</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44.0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gridSpan w:val="2"/>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Substantially all of the Real Estate Management and Development Segment’s sales are related to land sales.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Defined benefit pension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our net periodic defined benefit pension cost are presented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140" w:type="dxa"/>
            <w:vAlign w:val="bottom"/>
            <w:gridSpan w:val="4"/>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660" w:type="dxa"/>
            <w:vAlign w:val="bottom"/>
            <w:vMerge w:val="restart"/>
          </w:tcPr>
          <w:p>
            <w:pPr>
              <w:ind w:left="452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4660" w:type="dxa"/>
            <w:vAlign w:val="bottom"/>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40" w:type="dxa"/>
            <w:vAlign w:val="bottom"/>
          </w:tcPr>
          <w:p>
            <w:pPr>
              <w:spacing w:after="0"/>
              <w:rPr>
                <w:sz w:val="18"/>
                <w:szCs w:val="18"/>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76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8"/>
              </w:rPr>
              <w:t>(6.1)</w:t>
            </w: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(5.3)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Recognized net actuarial losses</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left="1280" w:right="360"/>
        <w:spacing w:after="0" w:line="407" w:lineRule="auto"/>
        <w:rPr>
          <w:sz w:val="20"/>
          <w:szCs w:val="20"/>
          <w:color w:val="auto"/>
        </w:rPr>
      </w:pPr>
      <w:r>
        <w:rPr>
          <w:rFonts w:ascii="Times New Roman" w:cs="Times New Roman" w:eastAsia="Times New Roman" w:hAnsi="Times New Roman"/>
          <w:sz w:val="18"/>
          <w:szCs w:val="18"/>
          <w:color w:val="auto"/>
        </w:rPr>
        <w:t>We expect to contribute the equivalent of approximately $17 million to all of our defined benefit pension plans during 2026.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251460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Other income, net:</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12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gridSpan w:val="4"/>
          </w:tcPr>
          <w:p>
            <w:pPr>
              <w:jc w:val="right"/>
              <w:ind w:right="196"/>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10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and dividends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960" w:type="dxa"/>
            <w:vAlign w:val="bottom"/>
            <w:gridSpan w:val="3"/>
          </w:tcPr>
          <w:p>
            <w:pPr>
              <w:jc w:val="right"/>
              <w:ind w:right="4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transactions, net</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transactions, net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reimbursement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building sale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Infrastructure reimbursement </w:t>
      </w:r>
      <w:r>
        <w:rPr>
          <w:rFonts w:ascii="Times New Roman" w:cs="Times New Roman" w:eastAsia="Times New Roman" w:hAnsi="Times New Roman"/>
          <w:sz w:val="18"/>
          <w:szCs w:val="18"/>
          <w:color w:val="auto"/>
        </w:rPr>
        <w:t>– As disclosed in Note 7 to our 2025 Annual Report, under an OPA entered into by LandWell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Redevelopment Agency of the City of Henderson, Nevada, as LandWell develops certain real property for commercial and residential purposes in its master planned community in Henderson, Nevada, the cost of certain public infrastructure may be reimbursed to LandWell through tax increment. LandWell received approval for additional tax reimbursement of $16.7 million in the first nine months of 2026 ($5.4 million in the first quarter and $11.3 million in the second quarter) and $34.2 million in the first nine months of 2025 ($17.2 million in the second quarter and $17.0 million in the third quarter), which were recognized as other income and are evidenced by a promissory note issued to LandWell by the City of Henderson. The maximum infrastructure reimbursement of $170 million available under the OPA has been approved.</w:t>
      </w:r>
    </w:p>
    <w:p>
      <w:pPr>
        <w:spacing w:after="0" w:line="18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LandWell has agreements with certain utility providers servicing the Cadence master planned community under which certain costs incurred for the development of power infrastructure may be reimbursed to LandWell. LandWell received $.4 million and $.3 million in reimbursement during the first nine months of 2026 and 2025, respectively, for past costs incurred.</w:t>
      </w:r>
    </w:p>
    <w:p>
      <w:pPr>
        <w:spacing w:after="0" w:line="133" w:lineRule="exact"/>
        <w:rPr>
          <w:sz w:val="20"/>
          <w:szCs w:val="20"/>
          <w:color w:val="auto"/>
        </w:rPr>
      </w:pPr>
    </w:p>
    <w:p>
      <w:pPr>
        <w:jc w:val="both"/>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the sale of office building – </w:t>
      </w:r>
      <w:r>
        <w:rPr>
          <w:rFonts w:ascii="Times New Roman" w:cs="Times New Roman" w:eastAsia="Times New Roman" w:hAnsi="Times New Roman"/>
          <w:sz w:val="18"/>
          <w:szCs w:val="18"/>
          <w:color w:val="auto"/>
        </w:rPr>
        <w:t>In June 2026, LandWell completed the sale of the office building used in its operations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proceeds of approximately $6.8 million and recognized a gain on sale of approximately $5.8 million.</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00" w:right="9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provision for income taxes and the difference between such provision for income taxes and the amount that would be expected using the U.S. federal statutory income tax rate of 21% are presented below.</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income taxes, net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Statutory rate difference between Germany and U.S.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Subnational income taxes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Effect of changes in tax laws enacted in the current period</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in valuation allowances, net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Nondeductible differences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Belgium:</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in valuation allowances, net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changes in tax laws enacted in the current period</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controlled-foreign-corporation tested income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Incremental tax benefit on earnings or losses of subsidiary</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 net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 net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Incremental tax expense (benefit) on investment in Kronos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Incremental tax benefit on investment in BMI/LandWell</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41"/>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provision for income taxes allocable to:</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Currency translation</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Comprehensive income tax expense</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-4439920</wp:posOffset>
            </wp:positionV>
            <wp:extent cx="62922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-4165600</wp:posOffset>
            </wp:positionV>
            <wp:extent cx="629221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-3891280</wp:posOffset>
            </wp:positionV>
            <wp:extent cx="629221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-3616960</wp:posOffset>
            </wp:positionV>
            <wp:extent cx="629221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-3342640</wp:posOffset>
            </wp:positionV>
            <wp:extent cx="629221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-3068320</wp:posOffset>
            </wp:positionV>
            <wp:extent cx="629221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-2794000</wp:posOffset>
            </wp:positionV>
            <wp:extent cx="629221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-2519680</wp:posOffset>
            </wp:positionV>
            <wp:extent cx="629221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-2245360</wp:posOffset>
            </wp:positionV>
            <wp:extent cx="629221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-1971040</wp:posOffset>
            </wp:positionV>
            <wp:extent cx="629221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-1696720</wp:posOffset>
            </wp:positionV>
            <wp:extent cx="629221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-1422400</wp:posOffset>
            </wp:positionV>
            <wp:extent cx="629221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-839470</wp:posOffset>
            </wp:positionV>
            <wp:extent cx="629221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-565150</wp:posOffset>
            </wp:positionV>
            <wp:extent cx="629221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-290830</wp:posOffset>
            </wp:positionV>
            <wp:extent cx="629221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-1148080</wp:posOffset>
            </wp:positionV>
            <wp:extent cx="629221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4"/>
          </w:tcPr>
          <w:p>
            <w:pPr>
              <w:jc w:val="right"/>
              <w:ind w:right="610"/>
              <w:spacing w:after="0" w:line="174"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0" w:type="dxa"/>
            <w:vAlign w:val="bottom"/>
          </w:tcPr>
          <w:p>
            <w:pPr>
              <w:spacing w:after="0"/>
              <w:rPr>
                <w:sz w:val="1"/>
                <w:szCs w:val="1"/>
                <w:color w:val="auto"/>
              </w:rPr>
            </w:pPr>
          </w:p>
        </w:tc>
      </w:tr>
      <w:tr>
        <w:trPr>
          <w:trHeight w:val="23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410"/>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38"/>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410"/>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38"/>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0" w:type="dxa"/>
            <w:vAlign w:val="bottom"/>
          </w:tcPr>
          <w:p>
            <w:pPr>
              <w:spacing w:after="0"/>
              <w:rPr>
                <w:sz w:val="1"/>
                <w:szCs w:val="1"/>
                <w:color w:val="auto"/>
              </w:rPr>
            </w:pPr>
          </w:p>
        </w:tc>
      </w:tr>
      <w:tr>
        <w:trPr>
          <w:trHeight w:val="41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23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41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8"/>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10"/>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24"/>
                <w:szCs w:val="24"/>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0" w:type="dxa"/>
            <w:vAlign w:val="bottom"/>
          </w:tcPr>
          <w:p>
            <w:pPr>
              <w:spacing w:after="0"/>
              <w:rPr>
                <w:sz w:val="1"/>
                <w:szCs w:val="1"/>
                <w:color w:val="auto"/>
              </w:rPr>
            </w:pPr>
          </w:p>
        </w:tc>
      </w:tr>
      <w:tr>
        <w:trPr>
          <w:trHeight w:val="410"/>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38"/>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0"/>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-24765</wp:posOffset>
            </wp:positionV>
            <wp:extent cx="6775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-7620</wp:posOffset>
            </wp:positionV>
            <wp:extent cx="6775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-170815</wp:posOffset>
            </wp:positionV>
            <wp:extent cx="6775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-1002030</wp:posOffset>
            </wp:positionV>
            <wp:extent cx="6775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-4594225</wp:posOffset>
            </wp:positionV>
            <wp:extent cx="6775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-4739640</wp:posOffset>
            </wp:positionV>
            <wp:extent cx="15005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260"/>
            <w:col w:w="4620"/>
          </w:cols>
          <w:pgMar w:left="980" w:top="513" w:right="999" w:bottom="1440" w:gutter="0" w:footer="0" w:header="0"/>
          <w:type w:val="continuous"/>
        </w:sectPr>
      </w:pPr>
    </w:p>
    <w:p>
      <w:pPr>
        <w:spacing w:after="0" w:line="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amount shown in the preceding table of our income tax rate reconciliation for incremental tax benefit on earnings or losses of subsidiary represents net current and deferred U.S. income tax benefit attributable to one of our Chemicals Segment’s non-U.S. subsidiaries which is treated as a dual resident for U.S. income tax purposes. The amount shown for incremental tax benefit on investment in BMI/LandWell represents current and deferred income taxes associated with distributions and earnings from our investment in BMI and LandWell. BMI and LandWell are not members of our consolidated tax group for federal and state tax purposes although we do hold a controlling interest. Income allocable to non-affiliated equity holders is not taxable to us and results in a net incremental tax benefit.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Tax authorities are examining certain of our U.S. and non-U.S. income tax returns and may propose tax deficiencies, including penalties and interest. In March 2026, we received notices of assessment from the German tax authorities for tax years 2019 through 2021. We disagree with the assessments and have filed notice of appeal. However, due to the uncertainty of the appeal and the complexity of the appeal process, during the first quarter of 2026 we recorded net income tax expense of $2.0 million to establish an uncertain tax position, net of amounts expected to be received from other taxing jurisdictions.</w:t>
      </w:r>
    </w:p>
    <w:p>
      <w:pPr>
        <w:sectPr>
          <w:pgSz w:w="11900" w:h="16838" w:orient="portrait"/>
          <w:cols w:equalWidth="0" w:num="1">
            <w:col w:w="9920"/>
          </w:cols>
          <w:pgMar w:left="980" w:top="513" w:right="999" w:bottom="1440"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believe we have adequate accruals for additional taxes and related interest expense which could ultimately result from tax examinations. We believe the ultimate disposition of tax examinations should not have a material adverse effect on our consolidated financial position, results of operations or liquidity.</w:t>
      </w:r>
    </w:p>
    <w:p>
      <w:pPr>
        <w:spacing w:after="0" w:line="176"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In 2024, we recognized income tax expense upon the enactment of final §987 currency regulations, which included transition rules requiring us to recognize a pre-transition gain for currency translation related to our qualified business units. In August 2026, the U.S. Department of the Treasury and the IRS issued proposed currency regulations under §987 that narrow the application of the 2024 final regulations by introducing a controlled foreign corporation (“CFC”) exemption election and related transition rules. Taxpayers may rely on these proposed regulations, which apply to tax years beginning after December 31, 2024. As a result of our assessment, we will no longer elect to amortize the pre-transition §987 gain and have recognized a non-cash deferred income tax benefit of $12.1 million in the third quarter of 2026.</w:t>
      </w:r>
    </w:p>
    <w:p>
      <w:pPr>
        <w:spacing w:after="0" w:line="189"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On July 18, 2025, Germany enacted legislation which included, among other provisions, an additional depreciation allowance for certain fixed assets, improvements to the research and development tax allowance and, starting in 2028, a reduction of the 15% corporate tax rate by one percentage point annually for five years reaching 10% in 2032. We recorded a non-cash deferred income tax expense of $19.3 million in the third quarter of 2025 to reduce our net German deferred tax asset as a result of the reduction of the German corporate tax rate.</w:t>
      </w:r>
    </w:p>
    <w:p>
      <w:pPr>
        <w:spacing w:after="0" w:line="183"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 the United States. It did not have a material impact on our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Noncontrolling interest in subsidiaries: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4"/>
                <w:szCs w:val="24"/>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6560" w:type="dxa"/>
            <w:vAlign w:val="bottom"/>
          </w:tcPr>
          <w:p>
            <w:pPr>
              <w:ind w:left="64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3"/>
          </w:tcPr>
          <w:p>
            <w:pPr>
              <w:jc w:val="center"/>
              <w:ind w:left="7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2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net assets: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 Worldwide</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8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NLI Holdings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CompX International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BMI</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LandWell</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6560" w:type="dxa"/>
            <w:vAlign w:val="bottom"/>
            <w:vMerge w:val="restart"/>
          </w:tcPr>
          <w:p>
            <w:pPr>
              <w:ind w:left="63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3"/>
          </w:tcPr>
          <w:p>
            <w:pPr>
              <w:jc w:val="center"/>
              <w:ind w:left="7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2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net income (loss) of subsidiaries: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 Worldwide</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NLI Holdings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CompX International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BMI</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LandWell</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488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Stockholders’ equity:</w:t>
      </w:r>
    </w:p>
    <w:p>
      <w:pPr>
        <w:spacing w:after="0" w:line="252"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accumulated other comprehensive income (loss) attributable to Valhi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are presented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2120" w:type="dxa"/>
            <w:vAlign w:val="bottom"/>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20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vMerge w:val="continue"/>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income (loss) (net of tax and</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at beginning and end of period</w:t>
            </w:r>
          </w:p>
        </w:tc>
        <w:tc>
          <w:tcPr>
            <w:tcW w:w="5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6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translation: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5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w:t>
            </w:r>
          </w:p>
        </w:tc>
        <w:tc>
          <w:tcPr>
            <w:tcW w:w="6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 arising during the period</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(87.8)</w:t>
            </w:r>
          </w:p>
        </w:tc>
        <w:tc>
          <w:tcPr>
            <w:tcW w:w="3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62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8"/>
                <w:szCs w:val="18"/>
                <w:color w:val="auto"/>
              </w:rPr>
            </w:pPr>
          </w:p>
        </w:tc>
        <w:tc>
          <w:tcPr>
            <w:tcW w:w="5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6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62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8"/>
                <w:szCs w:val="18"/>
                <w:color w:val="auto"/>
              </w:rPr>
            </w:pPr>
          </w:p>
        </w:tc>
        <w:tc>
          <w:tcPr>
            <w:tcW w:w="5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66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 and net losses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included in net periodic pension cost</w:t>
            </w:r>
          </w:p>
        </w:tc>
        <w:tc>
          <w:tcPr>
            <w:tcW w:w="3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3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OPEB plans: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62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8"/>
                <w:szCs w:val="18"/>
                <w:color w:val="auto"/>
              </w:rPr>
            </w:pPr>
          </w:p>
        </w:tc>
        <w:tc>
          <w:tcPr>
            <w:tcW w:w="5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62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8"/>
                <w:szCs w:val="18"/>
                <w:color w:val="auto"/>
              </w:rPr>
            </w:pPr>
          </w:p>
        </w:tc>
        <w:tc>
          <w:tcPr>
            <w:tcW w:w="5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66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credit and net losses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included in net periodic OPEB cost</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62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8"/>
                <w:szCs w:val="18"/>
                <w:color w:val="auto"/>
              </w:rPr>
            </w:pPr>
          </w:p>
        </w:tc>
        <w:tc>
          <w:tcPr>
            <w:tcW w:w="5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w:t>
            </w:r>
          </w:p>
        </w:tc>
        <w:tc>
          <w:tcPr>
            <w:tcW w:w="6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w:t>
            </w:r>
          </w:p>
        </w:tc>
        <w:tc>
          <w:tcPr>
            <w:tcW w:w="3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00" w:type="dxa"/>
            <w:vAlign w:val="bottom"/>
          </w:tcPr>
          <w:p>
            <w:pPr>
              <w:spacing w:after="0"/>
              <w:rPr>
                <w:sz w:val="24"/>
                <w:szCs w:val="24"/>
                <w:color w:val="auto"/>
              </w:rPr>
            </w:pPr>
          </w:p>
        </w:tc>
        <w:tc>
          <w:tcPr>
            <w:tcW w:w="5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 pigment litigation – NLI</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NLI’s former operations included the manufacture of lead pigments for use in paint and lead-based paint. NLI, other former manufacturers of lead pigments for use in paint and lead-based paint (together, the “former pigment manufacturers”), and the Lead Industries Association (“LIA”), which discontinued business operations in 2002, have previously been named as defendants in various legal proceedings seeking damages for personal injury, property damage and governmental expenditures allegedly caused by the use of lead-based paints. Certain of these actions were filed by or on behalf of states, counties, cities or their public housing authorities and school districts, and certain others were asserted as class actions. NLI currently has no pending lead paint class action cases or pending lead paint cases brought by housing authorities, school districts or other government entities.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New cases may continue to be filed against NLI. We do not know if we will incur liability in the future in respect to any of the pending or possible litigation in view of the inherent uncertainties involved in court and jury rulings. In the future, if new information regarding such matters becomes available to us (such as a final, non-appealable adverse verdict against NLI or otherwise ultimately being found liable with respect to such matters), at that time we would consider such information in evaluating any remaining cases then-pending against NLI as to whether it might then have become probable we have incurred liability with respect to these matters, and whether such liability, if any, could have become reasonably estimable. The resolution of any of these cases could result in the recognition of a loss contingency accrual that could have a material adverse impact on our net income for the interim or annual period during which such liability is recognized and a material adverse impact on our consolidated financial condition and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 and litigation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are governed by various environmental laws and regulations. Certain of our businesses are and have been engaged in the handling, manufacture or use of substances or compounds that may be considered toxic or hazardous within the meaning of applicable environmental laws and regulations. As with other companies engaged in similar businesses, certain of our past and current operations and products have the potential to cause environmental or other damage. Our businesses have implemented and continue to implement various policies and programs in an effort to minimize these risks. Our policy is to maintain compliance with applicable environmental laws and regulations at all of our plants and to strive to improve environmental performance. From time to time, our businesses may be subject to environmental regulatory enforcement under U.S. and non-U.S. statutes, the resolution of which typically involves the establishment or enhancement of compliance programs. It is possible that future developments, such as stricter requirements of environmental laws and enforcement policies, could adversely affect our production, handling, use, storage, transportation, sale or disposal of such substances. We believe all of our facilities are in substantial compliance with applicable environmental laws.</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properties and facilities used in our former operations (primarily NLI’s former operations), including divested primary and secondary lead smelters and former mining locations, are the subject of civil litigation, administrative proceedings or investigations arising under federal and state environmental laws and common law. Additionally, in connection with past operating practices, we are currently involved as a defendant, potentially responsible party (“PRP”) or both, pursuant to the Comprehensive Environmental Response, Compensation and Liability Act, as amended by the Superfund Amendments and Reauthorization Act (“CERCLA”), and similar state laws in various governmental and private actions associated with waste disposal sites, mining locations, and facilities that we or our predecessors, and NLI or its predecessors, our subsidiaries or their predecessors currently or previously owned, operated or used, certain of which are on the United States Environmental Protection Agency’s (“EPA”) Superfund National Priorities List or similar state lists. These proceedings seek cleanup costs, damages for personal injury or property damage and/or damages for injury to natural resources. Certain of these proceedings involve claims for substantial amounts. Although we may be jointly and severally liable for these costs, in most cases we are only one of a number of PRPs who may also be jointly and severally liable, and among whom costs may be shared or allocated. In addition, we are occasionally named as a party in a number of personal injury lawsuits filed in various jurisdictions alleging claims related to environmental conditions alleged to have resulted from our operations.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Obligations associated with environmental remediation and related matters are difficult to assess and estimate for numerous reasons including the:</w:t>
      </w:r>
    </w:p>
    <w:p>
      <w:pPr>
        <w:spacing w:after="0" w:line="121" w:lineRule="exact"/>
        <w:rPr>
          <w:sz w:val="20"/>
          <w:szCs w:val="20"/>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differing interpretations of governmental regulations,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PRPs and their ability or willingness to fund such allocation of costs,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capabilities of the PRPs and the allocation of costs among them,</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of other PRPs,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multiplicity of possible solutions,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years of investigatory, remedial and monitoring activity required,</w:t>
      </w:r>
    </w:p>
    <w:p>
      <w:pPr>
        <w:spacing w:after="0" w:line="117"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over the extent, if any, to which our former operations might have contributed to the conditions allegedly giving rise to such personal injury, property damage, natural resource and related claims, and</w:t>
      </w:r>
    </w:p>
    <w:p>
      <w:pPr>
        <w:spacing w:after="0" w:line="53"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years between former operations and notice of claims and lack of information and documents about the former operations.</w:t>
      </w:r>
    </w:p>
    <w:p>
      <w:pPr>
        <w:spacing w:after="0" w:line="162"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the imposition of more stringent standards or requirements under environmental laws or regulations, new developments or changes regarding site cleanup costs or the allocation of costs among PRPs, solvency of other PRPs, the results of future testing and analysis undertaken with respect to certain sites or a determination that we are potentially responsible for the release of hazardous substances at other sites, could cause our expenditures to exceed our current estimates. Actual costs could exceed accrued amounts or the upper end of the range for sites for which estimates have been made, and costs may be incurred for sites where no estimates presently can be made. Further, additional environmental and related matters may arise in the future. If we were to incur any future liability, this could have a material adverse effect on our Condensed Consolidated Financial Statements, results of operations and liquidity.</w:t>
      </w:r>
    </w:p>
    <w:p>
      <w:pPr>
        <w:spacing w:after="0" w:line="192"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We record liabilities related to environmental remediation and related matters (including costs associated with damages for personal injury or property damage and/or damages for injury to natural resources) when estimated future expenditures are probable and reasonably estimable. We adjust such accruals as further information becomes available to us or as circumstances change. Unless the amounts and timing of such estimated future expenditures are fixed and reasonably determinable, we generally do not discount estimated future expenditures to their present value due to the uncertainty of the timing of the payout. We recognize recoveries of costs from other parties, if any, as assets when their receipt is deemed probable.</w:t>
      </w:r>
    </w:p>
    <w:p>
      <w:pPr>
        <w:spacing w:after="0" w:line="187"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We do not know and cannot estimate the exact time frame over which we will make payments for our accrued environmental and related costs. The timing of payments depends upon a number of factors, including but not limited to the timing of the actual remediation process, which in turn depends on factors outside of our control. At each balance sheet date, we estimate the amount of the accrued environmental and related costs which we expect to pay within the next twelve months, and we classify this estimate as a current liability. We classify the remaining accrued environmental costs as a noncurrent liability.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a summary of the activity in our accrued environmental costs during the first nine months of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300" w:type="dxa"/>
            <w:vAlign w:val="bottom"/>
            <w:vMerge w:val="restart"/>
          </w:tcPr>
          <w:p>
            <w:pPr>
              <w:ind w:left="8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3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net</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30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Amounts recognized in the Condensed Consolidated Balance Sheet</w:t>
            </w: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at the end of the period:</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Noncurrent liabilities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NLI – </w:t>
      </w:r>
      <w:r>
        <w:rPr>
          <w:rFonts w:ascii="Times New Roman" w:cs="Times New Roman" w:eastAsia="Times New Roman" w:hAnsi="Times New Roman"/>
          <w:sz w:val="18"/>
          <w:szCs w:val="18"/>
          <w:color w:val="auto"/>
        </w:rPr>
        <w:t>On a quarterly basis, NLI evaluates the potential range of its liability for environmental remediation and related costs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sites where it has been named as a PRP or defendant. At September 30, 2026, NLI had accrued approximately $13 million related to</w:t>
      </w:r>
    </w:p>
    <w:p>
      <w:pPr>
        <w:sectPr>
          <w:pgSz w:w="11900" w:h="16838" w:orient="portrait"/>
          <w:cols w:equalWidth="0" w:num="1">
            <w:col w:w="9960"/>
          </w:cols>
          <w:pgMar w:left="980" w:top="513" w:right="959" w:bottom="1440" w:gutter="0" w:footer="0" w:header="0"/>
        </w:sectPr>
      </w:pP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27 sites associated with remediation and related matters it believes are at the present time and/or in their current phase reasonably estimable. The upper end of the range of reasonably possible costs to NLI for remediation and related matters for which NLI believes it is possible to estimate costs is approximately $38 million, including the amount currently accrued. These accruals have not been discounted to present value.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NLI believes that it is not reasonably possible to estimate the range of costs for certain sites. At September 30, 2026, there were approximately five sites for which NLI is not currently able to reasonably estimate a range of costs. For these sites, generally the investigation is in the early stages, and NLI is unable to determine whether or not NLI actually had any association with the site, the nature of its responsibility, if any, for the contamination at the site, if any, and the extent of contamination at and cost to remediate the site. The timing and availability of information on these sites is dependent on events outside of NLI’s control, such as when the party alleging liability provides information to NLI. At certain of these previously inactive sites, NLI has received general and special notices of liability from the EPA and/or state agencies alleging that NLI, sometimes with other PRPs, is liable for past and future costs of remediating environmental contamination allegedly caused by former operations. These notifications may assert that NLI, along with any other alleged PRPs, is liable for past and/or future clean-up costs. As further information becomes available to us for any of these sites which would allow us to estimate a range of costs, we would at that time adjust our accruals. Any such adjustment could result in the recognition of an accrual that would have a material effect on our consolidated financial statements, results of operations and liquidity.</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also accrued approximately $4 million at September 30, 2026 for other environmental cleanup matters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our best estimate of the liability.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claims – NLI</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NLI is involved in certain legal proceedings with a number of its former insurance carriers regarding the nature and extent of the carriers’ obligations to NLI under insurance policies with respect to certain lead pigment and asbestos lawsuits. The issue of whether insurance coverage for defense costs or indemnity or both will be found to exist for NLI’s lead pigment and asbestos litigation depends upon a variety of factors, and we cannot assure you that such insurance coverage will be available.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NLI has agreements with certain of its former insurance carriers pursuant to which the carriers reimburse it for a portion of its future lead pigment litigation defense costs and one such carrier reimburses us for a portion of NLI’s future asbestos litigation defense costs. We are not able to determine how much NLI will ultimately recover from these carriers for defense costs incurred by NLI because of certain issues that arise regarding which defense costs qualify for reimbursement. While NLI continues to seek additional insurance recoveries, we do not know if we will be successful in obtaining reimbursement for either defense costs or indemnity. Accordingly, we recognize insurance recoveries in income only when receipt of the recovery is probable and we are able to reasonably estimate the amount of the recovery.</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complete discussion of certain litigation involving NLI and certain of its former insurance carriers, refer to our 2025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litigation described above, we and our affiliates are involved in various other environmental, contractual, product liability, patent (or intellectual property), employment and other claims and disputes incidental to our present and former businesses. In certain cases, we have insurance coverage for these items, although we do not expect additional material insurance coverage for our environmental matters. We currently believe the disposition of all of these various other claims and disputes (including asbestos-related claims), individually or in the aggregate, should not have a material adverse effect on our consolidated financial position, results of operations or liquidity beyond the accruals already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Fair value measurements and financial instruments: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our financial instruments recorded on a fair value basis as of December 31, 2025 and September 30,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Fair Value Measurements</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7"/>
        </w:trPr>
        <w:tc>
          <w:tcPr>
            <w:tcW w:w="3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3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r>
      <w:tr>
        <w:trPr>
          <w:trHeight w:val="216"/>
        </w:trPr>
        <w:tc>
          <w:tcPr>
            <w:tcW w:w="3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196"/>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w:t>
            </w:r>
          </w:p>
        </w:tc>
        <w:tc>
          <w:tcPr>
            <w:tcW w:w="140" w:type="dxa"/>
            <w:vAlign w:val="bottom"/>
          </w:tcPr>
          <w:p>
            <w:pPr>
              <w:spacing w:after="0"/>
              <w:rPr>
                <w:sz w:val="17"/>
                <w:szCs w:val="17"/>
                <w:color w:val="auto"/>
              </w:rPr>
            </w:pPr>
          </w:p>
        </w:tc>
        <w:tc>
          <w:tcPr>
            <w:tcW w:w="106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millions)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(liability)</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marketable securities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marketable securities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5 for amounts related to our marketable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financial instruments that are not carried at fair value but which require fair value disclosure: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4"/>
          </w:tcPr>
          <w:p>
            <w:pPr>
              <w:jc w:val="right"/>
              <w:ind w:right="610"/>
              <w:spacing w:after="0" w:line="196"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228.9</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Kronos fixed rate 9.50% Senior Secured Notes due 2029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LandWell bank note payable</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At December 31, 2025 and September 30, 2026, the estimated market price of Kronos’ 9.50% Senior Secured Notes due 2029 was €937 and €1,007 per €1,000 principal amount, respectively. The fair value of Kronos’ Senior Secured Notes due 2029 were based on quoted market prices; however, these prices represented Level 2 inputs because the market in which the notes trade was not active. The fair value of other fixed-rate debt, which represents Level 2 inputs, is deemed to approximate carrying value. See Note 7. Due to their near-term maturities, the carrying amounts of accounts receivable and accounts payable are considered equivalent to fair value. See Notes 3 and 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Restructuring costs:</w:t>
      </w:r>
    </w:p>
    <w:p>
      <w:pPr>
        <w:spacing w:after="0" w:line="229"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18"/>
          <w:szCs w:val="18"/>
          <w:color w:val="auto"/>
        </w:rPr>
        <w:t>In the fourth quarter of 2025, Kronos initiated a restructuring plan through workforce reductions which is supporting an improved current and longer-term cost structure. These workforce reductions impacted approximately 226 positions with a substantial portion of such reductions accomplished through involuntary programs. A portion of the reductions was also accomplished through voluntary programs, for which eligible workforce reduction costs were recognized at the time both the employee and employer were irrevocably committed to the terms of the separation. During the fourth quarter of 2025, Kronos recognized an aggregate $10.3 million charge related to these workforce reductions. Accrued severance costs remaining at September 30, 2026 are expected to be substantially paid in 2026 and are included in accounts payable and accrued liabilities on our Condensed Consolidated Balance Sheet. See Note 8. Kronos does not expect to accrue any further material amounts for the workforce reductions.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activity in Kronos’ accrued restructuring costs for the first nine months of 2026 is shown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6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workforce reduction costs at December 31, 2025</w:t>
            </w:r>
          </w:p>
        </w:tc>
        <w:tc>
          <w:tcPr>
            <w:tcW w:w="2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Workforce reduction costs accrued</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Workforce reduction costs paid</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Currency translation adjustments, net</w:t>
            </w:r>
          </w:p>
        </w:tc>
        <w:tc>
          <w:tcPr>
            <w:tcW w:w="20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09"/>
        </w:trPr>
        <w:tc>
          <w:tcPr>
            <w:tcW w:w="6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balance at September 30, 2026</w:t>
            </w:r>
          </w:p>
        </w:tc>
        <w:tc>
          <w:tcPr>
            <w:tcW w:w="2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0"/>
        </w:trPr>
        <w:tc>
          <w:tcPr>
            <w:tcW w:w="6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Recent accounting pronouncements: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ASU requires additional information about specific expense categories in the notes to financial statements for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May 2026, the FASB issued ASU No. 2026-02, </w:t>
      </w:r>
      <w:r>
        <w:rPr>
          <w:rFonts w:ascii="Times New Roman" w:cs="Times New Roman" w:eastAsia="Times New Roman" w:hAnsi="Times New Roman"/>
          <w:sz w:val="18"/>
          <w:szCs w:val="18"/>
          <w:i w:val="1"/>
          <w:iCs w:val="1"/>
          <w:color w:val="auto"/>
        </w:rPr>
        <w:t>Environmental Credits and Environmental Credit Obligations</w:t>
      </w:r>
      <w:r>
        <w:rPr>
          <w:rFonts w:ascii="Times New Roman" w:cs="Times New Roman" w:eastAsia="Times New Roman" w:hAnsi="Times New Roman"/>
          <w:sz w:val="18"/>
          <w:szCs w:val="18"/>
          <w:color w:val="auto"/>
        </w:rPr>
        <w:t>, which establishes guidance for the recognition, measurement, presentation, and disclosure of environmental credits and related compliance obligations. The standard is intended to improve consistency and comparability in accounting for environmental credit programs by providing a comprehensive accounting framework. The ASU is effective for us beginning in 2028, with early adoption permitted. We are in the process of evaluating the impact this standard will have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900" w:right="940" w:hanging="890"/>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primarily a holding company. We operate through our wholly-owned and majority-owned subsidiaries, including NLI Holdings, Inc. (formerly NL Industries, Inc.), Kronos Worldwide, Inc., CompX International Inc., Tremont LLC, Basic Management, Inc. (“BMI”) and The LandWell Company (“LandWell”). Kronos (NYSE: KRO), NLI (NYSE: NL) and CompX (NYSE American: CIX) each file periodic reports with the SEC.</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three consolidated reportable operating segments:</w:t>
      </w:r>
    </w:p>
    <w:p>
      <w:pPr>
        <w:spacing w:after="0" w:line="223" w:lineRule="exact"/>
        <w:rPr>
          <w:sz w:val="20"/>
          <w:szCs w:val="20"/>
          <w:color w:val="auto"/>
        </w:rPr>
      </w:pPr>
    </w:p>
    <w:p>
      <w:pPr>
        <w:jc w:val="both"/>
        <w:ind w:left="1000" w:hanging="317"/>
        <w:spacing w:after="0" w:line="22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Chemicals </w:t>
      </w:r>
      <w:r>
        <w:rPr>
          <w:rFonts w:ascii="Times New Roman" w:cs="Times New Roman" w:eastAsia="Times New Roman" w:hAnsi="Times New Roman"/>
          <w:sz w:val="18"/>
          <w:szCs w:val="18"/>
          <w:color w:val="auto"/>
        </w:rPr>
        <w:t>– Our Chemicals Segment is operated through our majority control of Kronos. Kronos is a leading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producer and marketer of value-added titanium dioxide pigments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is used to impart whiteness, brightness, opacity and durability to a wide variety of products, including paints, plastics, paper, fibers and ceramics. Additionally,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is a critical component of everyday applications, such as coatings, plastics and paper, as well as many specialty products such as inks, cosmetics and pharmaceuticals.</w:t>
      </w:r>
    </w:p>
    <w:p>
      <w:pPr>
        <w:spacing w:after="0" w:line="92"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Component Products </w:t>
      </w:r>
      <w:r>
        <w:rPr>
          <w:rFonts w:ascii="Times New Roman" w:cs="Times New Roman" w:eastAsia="Times New Roman" w:hAnsi="Times New Roman"/>
          <w:sz w:val="18"/>
          <w:szCs w:val="18"/>
          <w:color w:val="auto"/>
        </w:rPr>
        <w:t>– We operate in the component products industry through our majority control of CompX. CompX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leading manufacturer of security products used in the postal, recreational transportation, office and institutional furniture, cabinetry, tool storage, healthcare applications and a variety of other industries. CompX is also a leading manufacturer of wake enhancement systems, stainless steel exhaust systems, custom metal fabricated parts, gauges, throttle controls, trim tabs and related hardware and accessories primarily for the recreational marine and other industries.</w:t>
      </w:r>
    </w:p>
    <w:p>
      <w:pPr>
        <w:spacing w:after="0" w:line="75"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 Estate Management and Development </w:t>
      </w:r>
      <w:r>
        <w:rPr>
          <w:rFonts w:ascii="Times New Roman" w:cs="Times New Roman" w:eastAsia="Times New Roman" w:hAnsi="Times New Roman"/>
          <w:sz w:val="18"/>
          <w:szCs w:val="18"/>
          <w:color w:val="auto"/>
        </w:rPr>
        <w:t>– We operate in real estate management and development through our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BMI and LandWell. BMI and LandWell own real property in Henderson, Nevada. LandWell is engaged in efforts to develop certain land holdings for commercial, industrial and residential purposes in Henderson, Nevada.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194" w:lineRule="exact"/>
        <w:rPr>
          <w:sz w:val="20"/>
          <w:szCs w:val="20"/>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supply and demand for our products;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cost savings from strategic and operational initiatives;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 into Kronos’ operations and realize expected synergies and innovations;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dependence of certain of our businesses on certain market sectors;</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certain of our businesses (such as Kronos’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operations);</w:t>
      </w:r>
    </w:p>
    <w:p>
      <w:pPr>
        <w:spacing w:after="0" w:line="12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producer inventory levels;</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earlier-than-expected industry capacity expansion (such as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industry);</w:t>
      </w:r>
    </w:p>
    <w:p>
      <w:pPr>
        <w:spacing w:after="0" w:line="12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raw material and other operating costs (such as ore, zinc, brass, aluminum, steel and energy costs) or the implementation of tariffs on imported raw materials;</w:t>
      </w:r>
    </w:p>
    <w:p>
      <w:pPr>
        <w:spacing w:after="0" w:line="53"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raw materials (such as ore);</w:t>
      </w:r>
    </w:p>
    <w:p>
      <w:pPr>
        <w:sectPr>
          <w:pgSz w:w="11900" w:h="16838" w:orient="portrait"/>
          <w:cols w:equalWidth="0" w:num="1">
            <w:col w:w="9920"/>
          </w:cols>
          <w:pgMar w:left="980" w:top="513" w:right="99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33"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political conditions that harm the worldwide economy, disrupt our supply chain, increase material and energy costs, reduce demand or perceived demand for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component products and land held for development or impair our ability to operate our facilities (including changes in the level of gross domestic product in various regions of the world, tariffs, natural disasters, terrorist acts, global conflicts and public health crises);</w:t>
      </w:r>
    </w:p>
    <w:p>
      <w:pPr>
        <w:spacing w:after="0" w:line="92"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but not limited to, labor disputes, leaks, natural disasters, fires, explosions, unscheduled or unplanned downtime, transportation interruptions, certain regional and world events or economic conditions and public health crises);</w:t>
      </w:r>
    </w:p>
    <w:p>
      <w:pPr>
        <w:spacing w:after="0" w:line="67"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related disruptions (including, but not limited to, cyber-attacks; software implementation, upgrades or improvements; technology processing failures; or other events) related to our technology infrastructure (including manufacturing and accounting systems) that could impact our ability to continue operations, or at key vendors which could impact our supply chain, or at key customers which could impact their operations and cause them to curtail or pause orders;</w:t>
      </w:r>
    </w:p>
    <w:p>
      <w:pPr>
        <w:spacing w:after="0" w:line="7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substitute products;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Chinese suppliers with less stringent regulatory and environmental compliance requirements;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competitor strategies;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consolidation of our competitors;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consolidation of our customers;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customers;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and changes in industry supply and production levels;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technology positions;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or defend intellectual property rights;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or changes in existing, tariffs, trade barriers or trade disputes;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subsidiaries to pay us dividends;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new product development and the development of new product features;</w:t>
      </w:r>
    </w:p>
    <w:p>
      <w:pPr>
        <w:spacing w:after="0" w:line="117"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p>
      <w:pPr>
        <w:spacing w:after="0" w:line="6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sell operating assets other than in the ordinary course of business;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amounts of insurance recoveries;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or refinance credit facilities or other debt instruments in the future;</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liquidity;</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income tax audits, tax settlement initiatives or other tax matters, including future tax reform;</w:t>
      </w:r>
    </w:p>
    <w:p>
      <w:pPr>
        <w:spacing w:after="0" w:line="117"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income tax attributes, the benefits of which may or may not have been recognized under the more-likely-than-not recognition criteria;</w:t>
      </w:r>
    </w:p>
    <w:p>
      <w:pPr>
        <w:spacing w:after="0" w:line="53"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(such as those requiring compliance with emission and discharge standards for existing and new facilities, or new developments regarding environmental remediation or decommissioning obligations at sites related to our former operations);</w:t>
      </w:r>
    </w:p>
    <w:p>
      <w:pPr>
        <w:spacing w:after="0" w:line="67" w:lineRule="exact"/>
        <w:rPr>
          <w:rFonts w:ascii="Times New Roman" w:cs="Times New Roman" w:eastAsia="Times New Roman" w:hAnsi="Times New Roman"/>
          <w:sz w:val="18"/>
          <w:szCs w:val="18"/>
          <w:color w:val="auto"/>
        </w:rPr>
      </w:pPr>
    </w:p>
    <w:p>
      <w:pPr>
        <w:jc w:val="both"/>
        <w:ind w:left="1000" w:hanging="317"/>
        <w:spacing w:after="0" w:line="23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and possible changes therein (such as changes in government regulations which might impose various obligations on former manufacturers of lead pigment and lead-based paint, including NLI, with respect to asserted health concerns associated with the use of such products) including new environmental, sustainability, health and safety or other regulations (such as those seeking to limit or classify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or its use);</w:t>
      </w:r>
    </w:p>
    <w:p>
      <w:pPr>
        <w:spacing w:after="0" w:line="7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resolution of pending litigation (such as NLI’s lead pigment and environmental matters);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covenants contained in our revolving bank credit facilities;</w:t>
      </w:r>
    </w:p>
    <w:p>
      <w:pPr>
        <w:sectPr>
          <w:pgSz w:w="11900" w:h="16838" w:orient="portrait"/>
          <w:cols w:equalWidth="0" w:num="1">
            <w:col w:w="9920"/>
          </w:cols>
          <w:pgMar w:left="980" w:top="513" w:right="99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comply with the conditions of our licenses and permits;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construction costs in Henderson, Nevada; and</w:t>
      </w:r>
    </w:p>
    <w:p>
      <w:pPr>
        <w:spacing w:after="0" w:line="117"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possible future litigation (such as litigation related to CompX’s use of certain permitted chemicals in its production process) or other actions.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Quarter Ended September 30, 2026 Compared to the Quarter Ended September 30, 2025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reported net income attributable to Valhi stockholders of $30.2 million, or $1.06 per diluted share, in the third quarter of 2026 compared to a net loss attributable to Valhi stockholders of $22.2 million, or $.78 per diluted share, in the third quarter of 2025. Our net income attributable to Valhi stockholders increased from 2025 to 2026 primarily due to higher operating income from our Chemicals Segment of $60.5 million in 2026 compared to an operating loss of $15.9 million in 2025 partially offset by lower operating income from our Real Estate Management and Development Segment of $.5 million in 2026 compared to $19.7 million in 2025.</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diluted net income per share in the third quarter of 2026 includes income of $.28 per share related to the Chemicals Segment’s non-cash deferred income tax benefit related to proposed currency regulations under §987 issued in August 2026.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diluted net loss per share in the third quarter of 2025 includes:</w:t>
      </w:r>
    </w:p>
    <w:p>
      <w:pPr>
        <w:spacing w:after="0" w:line="225" w:lineRule="exact"/>
        <w:rPr>
          <w:sz w:val="20"/>
          <w:szCs w:val="20"/>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$.45 per share related to the recognition of a non-cash deferred income tax expense to reduce the Chemicals Segment’s net German deferred tax asset as a result of the German tax rate reduction;</w:t>
      </w:r>
    </w:p>
    <w:p>
      <w:pPr>
        <w:spacing w:after="0" w:line="53"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$.31 per share related to tax increment infrastructure reimbursement; and</w:t>
      </w:r>
    </w:p>
    <w:p>
      <w:pPr>
        <w:spacing w:after="0" w:line="117"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$.08 per share due to the recognition of a non-cash gain resulting from the remeasurement of the Chemicals Segment’s earn-out liability related to our Chemicals Segment’s 2024 acquisition of the remaining ownership interest in Louisiana Pigment Company L.P.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Nine Months Ended September 30, 2026 Compared to the Nine Months Ended September 30, 2025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reported net income attributable to Valhi stockholders of $54.5 million, or $1.91 per diluted share, in the first nine months of 2026 compared to a net loss attributable to Valhi stockholders of $4.4 million, or $.15 per diluted share, in the first nine months of 2025. Our net income attributable to Valhi stockholders increased from 2025 to 2026 primarily due to higher operating income from our Chemicals Segment of $115.4 million in 2026 compared to operating income of $35.6 million in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diluted net income per share in the first nine months of 2026 includes:</w:t>
      </w:r>
    </w:p>
    <w:p>
      <w:pPr>
        <w:spacing w:after="0" w:line="225" w:lineRule="exact"/>
        <w:rPr>
          <w:sz w:val="20"/>
          <w:szCs w:val="20"/>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$.30 per share related to tax increment infrastructure reimbursement;</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$.28 per share related to the Chemicals Segment’s non-cash deferred income tax benefit related to proposed currency regulations under §987 issued in August 2026; and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$.10 per share related to the gain on the sale of an office building within our Real Estate Management and Development Segment; and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$.04 per share due to the recognition at our Chemicals Segment of an uncertain tax position related to a German tax audit.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diluted net loss per share in the first nine months of 2025 includes:</w:t>
      </w:r>
    </w:p>
    <w:p>
      <w:pPr>
        <w:spacing w:after="0" w:line="225" w:lineRule="exact"/>
        <w:rPr>
          <w:sz w:val="20"/>
          <w:szCs w:val="20"/>
          <w:color w:val="auto"/>
        </w:rPr>
      </w:pPr>
    </w:p>
    <w:p>
      <w:pPr>
        <w:ind w:left="4880" w:right="3200" w:hanging="4197"/>
        <w:spacing w:after="0" w:line="407" w:lineRule="auto"/>
        <w:tabs>
          <w:tab w:leader="none" w:pos="10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$.62 per share related to tax increment infrastructure reimbursement;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251460</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$.45 per share related to the recognition of a non-cash deferred income tax expense to reduce the Chemicals Segment’s net German deferred tax asset as a result of the German tax rate reduction; and</w:t>
      </w:r>
    </w:p>
    <w:p>
      <w:pPr>
        <w:spacing w:after="0" w:line="53"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$.08 per share due to the recognition of a non-cash gain resulting from the remeasurement of the Chemicals Segment’s earn-out liability related to our Chemicals Segment’s 2024 acquisition of the remaining ownership interest in Louisiana Pigment Company 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Current Forecast for 2026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expect consolidated operating income for 2026 to be higher as compared to 2025 primarily due to the net effects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ind w:left="1000" w:right="20" w:hanging="317"/>
        <w:spacing w:after="0" w:line="26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operating income from our Chemicals Segment in 2026 primarily due to the positive impacts of higher sales volumes and lower operating costs; and</w:t>
      </w:r>
    </w:p>
    <w:p>
      <w:pPr>
        <w:spacing w:after="0" w:line="73"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operating income from our Real Estate Management and Development Segment in 2026 due to the wind down of development activities.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Operating Results – 2026 Compared to 2025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Chemicals –</w:t>
      </w:r>
    </w:p>
    <w:p>
      <w:pPr>
        <w:spacing w:after="0" w:line="13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18"/>
          <w:szCs w:val="18"/>
          <w:color w:val="auto"/>
        </w:rPr>
        <w:t>We consider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to be a “quality of life” product, with demand affected by gross domestic product, or GDP, and overall economic conditions in our markets located in various regions of the world. Over the long-term, we expect demand for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will grow by 2% to 3% per year, consistent with our expectations for the long-term growth in GDP. However, even if our Chemicals Segment and its competitors maintain consistent shares of the worldwide market, demand for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 any interim or annual period may not change in the same proportion as the change in GDP, in part due to relative changes in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inventory levels of our Chemicals Segment’s customers. We believe our Chemicals Segment’s customers’ inventory levels are influenced in part by their expectations for future changes in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as well as their expectations for future availability of product. Although certain of our Chemicals Segment’s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grades are considered specialty pigments, the majority of its grades and substantially all of its production are considered commodity pigment products with price and availability being the most significant competitive factors along with product quality and customer and technical support services.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factors having the most impact on our Chemicals Segment’s reported operating results are:</w:t>
      </w:r>
    </w:p>
    <w:p>
      <w:pPr>
        <w:spacing w:after="0" w:line="131" w:lineRule="exact"/>
        <w:rPr>
          <w:sz w:val="20"/>
          <w:szCs w:val="20"/>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w:t>
      </w:r>
    </w:p>
    <w:p>
      <w:pPr>
        <w:spacing w:after="0" w:line="5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Chemicals Segment’s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sales and production volumes,</w:t>
      </w:r>
    </w:p>
    <w:p>
      <w:pPr>
        <w:spacing w:after="0" w:line="11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costs, particularly raw materials such as third-party feedstock, maintenance and energy-related expenses, and</w:t>
      </w:r>
    </w:p>
    <w:p>
      <w:pPr>
        <w:spacing w:after="0" w:line="53"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 (particularly the exchange rates for the U.S. dollar relative to the euro, the Norwegian krone and the Canadian dollar and the euro relative to the Norwegian krone).</w:t>
      </w:r>
    </w:p>
    <w:p>
      <w:pPr>
        <w:spacing w:after="0" w:line="6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Key performance indicators are our Chemicals Segment’s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average selling prices, the level of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sales and production volumes, and the cost of our Chemicals Segment’s titanium-containing feedstock purchased from third parties.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generally follow industry trends, and selling prices will increase or decrease generally as a result of competitive market pressures.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0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3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(Dollars</w:t>
            </w:r>
          </w:p>
        </w:tc>
        <w:tc>
          <w:tcPr>
            <w:tcW w:w="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w:t>
            </w:r>
          </w:p>
        </w:tc>
        <w:tc>
          <w:tcPr>
            <w:tcW w:w="8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millions)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(Dollars</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w:t>
            </w:r>
          </w:p>
        </w:tc>
        <w:tc>
          <w:tcPr>
            <w:tcW w:w="740" w:type="dxa"/>
            <w:vAlign w:val="bottom"/>
            <w:tcBorders>
              <w:top w:val="single" w:sz="8" w:color="auto"/>
            </w:tcBorders>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92"/>
              </w:rPr>
              <w:t>millions)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541.1</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1,609.0</w:t>
            </w: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1,297.0</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312.0</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gridSpan w:val="5"/>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240" w:type="dxa"/>
            <w:vAlign w:val="bottom"/>
            <w:vMerge w:val="continue"/>
          </w:tcPr>
          <w:p>
            <w:pPr>
              <w:spacing w:after="0"/>
              <w:rPr>
                <w:sz w:val="17"/>
                <w:szCs w:val="17"/>
                <w:color w:val="auto"/>
              </w:rPr>
            </w:pP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60.5</w:t>
            </w:r>
          </w:p>
        </w:tc>
        <w:tc>
          <w:tcPr>
            <w:tcW w:w="10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115.4</w:t>
            </w:r>
          </w:p>
        </w:tc>
        <w:tc>
          <w:tcPr>
            <w:tcW w:w="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net sales: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77 %</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81 %</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6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operating statistics: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Sales volumes*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80" w:type="dxa"/>
            <w:vAlign w:val="bottom"/>
          </w:tcPr>
          <w:p>
            <w:pPr>
              <w:spacing w:after="0"/>
              <w:rPr>
                <w:sz w:val="18"/>
                <w:szCs w:val="18"/>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Production volumes*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Percent change in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net sales: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gridSpan w:val="3"/>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920" w:type="dxa"/>
            <w:vAlign w:val="bottom"/>
            <w:gridSpan w:val="3"/>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sales volumes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3"/>
          </w:tcPr>
          <w:p>
            <w:pPr>
              <w:ind w:left="60"/>
              <w:spacing w:after="0" w:line="230" w:lineRule="exact"/>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 pricing</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920" w:type="dxa"/>
            <w:vAlign w:val="bottom"/>
            <w:gridSpan w:val="3"/>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 mix/other</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Changes in currency exchange rates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920" w:type="dxa"/>
            <w:vAlign w:val="bottom"/>
            <w:tcBorders>
              <w:top w:val="single" w:sz="8" w:color="CCEEFF"/>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Thousands of metric tons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18"/>
          <w:szCs w:val="18"/>
          <w:i w:val="1"/>
          <w:iCs w:val="1"/>
          <w:color w:val="auto"/>
        </w:rPr>
        <w:t xml:space="preserve">Current Industry Conditions </w:t>
      </w:r>
      <w:r>
        <w:rPr>
          <w:rFonts w:ascii="Times New Roman" w:cs="Times New Roman" w:eastAsia="Times New Roman" w:hAnsi="Times New Roman"/>
          <w:sz w:val="18"/>
          <w:szCs w:val="18"/>
          <w:color w:val="auto"/>
        </w:rPr>
        <w:t>– Our Chemicals Segment started 2026 with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prices lower than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of 2025; however, its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increased 11% during the first nine months of 2026. Throughout this period, our Chemicals Segment successfully implemented price increases and surcharges in response to rising operating costs, including energy and distribution costs. As a result, our Chemicals Segment’s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for the first nine months of 2026 were 1% lower than the corresponding period of 2025, while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for the third quarter of 2026 were 5% higher than in the third quarter of 2025. Overall, our Chemicals Segment’s sales volumes increased in the first nine months of 2026 compared to the same period in 2025 primarily due to market share gains in its European and North American markets, reflecting the effect of anti-dumping duties that remain in effect in certain markets and changing supply conditions. These conditions allowed us to expand our Chemicals Segment’s customer base and supported implementation of our pricing initiatives. Despite these gains, overall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demand remains below historical levels.</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our Chemicals Segment implemented cost reduction initiatives, including workforce reductions and other measures, to permanently improve its cost structure and enable more efficient operation of its facilities at lower production rates for extended periods. As a result, our Chemicals Segment adjusted its normal production capacity range in 2026 to reflect its production capabilities under this new cost structure.</w:t>
      </w:r>
    </w:p>
    <w:p>
      <w:pPr>
        <w:spacing w:after="0" w:line="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Excluding the effects of changes in currency exchange rates, our Chemicals Segment’s cost of sales per metric ton of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sold in the first nine months of 2026 was lower than the comparable period of 2025 due to decreases in per metric ton production costs, primarily driven by the cost reduction initiatives discussed above, as well as lower raw material costs (primarily feedstock costs) and lower unabsorbed fixed costs, partially offset by higher energy costs.</w:t>
      </w:r>
    </w:p>
    <w:p>
      <w:pPr>
        <w:spacing w:after="0" w:line="17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 Our Chemicals Segment’s net sales in the third quarter of 2026 increased 18%, or $84.2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2025 primarily due to the effects of a 14% increase in sales volumes (which increased net sales by approximately $64 million) and a 5% increase in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(which increased net sales by approximately $23 million).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will increase or decrease generally as a result of competitive market pressures, change in the relative level of supply and demand as well as change in raw material and other manufacturing costs.</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Chemicals Segment’s sales volumes increased 14% in the third quarter of 2026 as compared to the third quarter of 2025 primarily due to market share gains in its European and North American markets, reflecting the effect of anti-dumping duties that remain in effect in certain markets and changing supply conditions.</w:t>
      </w:r>
    </w:p>
    <w:p>
      <w:pPr>
        <w:sectPr>
          <w:pgSz w:w="11900" w:h="16838" w:orient="portrait"/>
          <w:cols w:equalWidth="0" w:num="1">
            <w:col w:w="9920"/>
          </w:cols>
          <w:pgMar w:left="980" w:top="50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Chemicals Segment’s net sales in the first nine months of 2026 increased 12%, or $167.9 million, compared to the first nine months of 2025 primarily due to an 11% increase in sales volumes (which increased net sales by approximately $159 million) partially offset by a 1% decrease in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(which decreased net sales by approximately $14 million). Additionally, we estimate that changes in currency exchange rates (primarily the euro) increased our Chemicals Segment’s net sales by approximately $39 million in the first nine months of 2026 as compared to the first nine months of 2025.</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Chemicals Segment’s sales volumes increased 11% in the first nine months of 2026 as compared to the same period in 2025 primarily due to market share gains in its European and North American markets, reflecting the effect of anti-dumping duties that remain in effect in certain markets and changing supply conditions.</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i w:val="1"/>
          <w:iCs w:val="1"/>
          <w:color w:val="auto"/>
        </w:rPr>
        <w:t xml:space="preserve">Cost of Sales and Gross Margin </w:t>
      </w:r>
      <w:r>
        <w:rPr>
          <w:rFonts w:ascii="Times New Roman" w:cs="Times New Roman" w:eastAsia="Times New Roman" w:hAnsi="Times New Roman"/>
          <w:sz w:val="18"/>
          <w:szCs w:val="18"/>
          <w:color w:val="auto"/>
        </w:rPr>
        <w:t>– Our Chemicals Segment’s cost of sales increased by $3.8 million, or 1%, in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2026 compared to the third quarter of 2025 due to the net effects of a 14% increase in sales volumes, higher energy costs, higher production rates resulting in reduced unabsorbed fixed production costs, lower raw material costs (primarily feedstock), and lower production costs resulting primarily from the cost reduction initiatives implemented in the fourth quarter of 2025. Our Chemicals Segment’s cost of sales in the third quarter of 2025 included approximately $27 million of unabsorbed fixed costs as it adjusted its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production volumes lower to align inventory levels with lower demand. Unabsorbed fixed costs in the third quarter of 2026 were not material.</w:t>
      </w:r>
    </w:p>
    <w:p>
      <w:pPr>
        <w:spacing w:after="0" w:line="20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Our Chemicals Segment’s cost of sales as a percentage of net sales improved to 77% in the third quarter of 2026 compared to 90% in the same period of 2025, primarily due to the favorable effects of higher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lower production costs and higher production volumes resulting in increased coverage of fixed production costs, partially offset by higher energy costs, as discussed above.</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Chemicals Segment’s gross margin as a percentage of net sales increased to 23% in the third quarter of 2026 compared to 10% in the third quarter of 2025. Our Chemicals Segment’s gross margin as a percentage of net sales increased based on the factors affecting net sales and cost of sales, discussed above.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Chemicals Segment’s cost of sales increased $71.1 million, or 6%, in the first nine months of 2026 compared to the first nine months of 2025 primarily due to an 11% increase in sales volumes and the unfavorable impact from changes in currency exchange rates, partially offset by higher production rates resulting in reduced unabsorbed fixed production costs, lower raw material costs (primarily feedstock) and lower production costs resulting primarily from the cost reduction initiatives implemented in the fourth quarter of 2025. Our Chemicals Segment’s cost of sales for the first nine months of 2025 includes approximately $45 million of unabsorbed fixed costs. Unabsorbed fixed costs for the first nine months of 2026 were not material.</w:t>
      </w:r>
    </w:p>
    <w:p>
      <w:pPr>
        <w:spacing w:after="0" w:line="18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Our Chemicals Segment’s cost of sales as a percentage of net sales improved to 81% in the first nine months of 2026 compared to 85% in the same period of 2025, primarily due to the favorable effects of lower production costs, partially offset by lower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and the unfavorable impact of changes in currency exchange rates.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Chemicals Segment’s gross margin as a percentage of net sales increased to 19% in the first nine months of 2026 compared to 15% in the same period of 2025 based on the factors affecting net sales and cost of sales, discussed above.</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 Our Chemicals Segment’s operating income increased by $76.4 million to $60.5 million in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2026 compared to a $15.9 million loss in the third quarter of 2025, primarily as a result of the factors impacting gross margin discussed above. We estimate that changes in currency exchange rates decreased operating income by approximately $5 million in the third quarter of 2026 compared to the same period in 2025, as discussed in the effects of currency exchange rates section below. Our Chemicals Segment’s operating income increased by $79.8 million to $115.4 million in the first nine months of 2026 compared to $35.6 million in the first nine months of 2025, primarily as a result of the factors impacting gross margin discussed above. We estimate that changes in currency exchange rates decreased operating income by approximately $23 million in the first nine months of 2026 compared to the same period in 2025, as discussed in the effects of currency exchange rates section below.</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Chemicals Segment’s operating income (loss) is net of amortization of purchase accounting adjustments made in conjunction with our acquisitions of interests in NLI and Kronos. As a result, we recognize additional depreciation expense above the amounts Kronos reports separately, substantially all of which is included within cost of sales. We recognized additional depreciation expense of $1.7 million and $1.6 million in the first nine months of 2026 and 2025, respectively, which reduced our reported Chemicals Segment’s operating income (loss) as compared to amounts reported by Kronos.</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Currency Exchange Rates </w:t>
      </w:r>
      <w:r>
        <w:rPr>
          <w:rFonts w:ascii="Times New Roman" w:cs="Times New Roman" w:eastAsia="Times New Roman" w:hAnsi="Times New Roman"/>
          <w:sz w:val="18"/>
          <w:szCs w:val="18"/>
          <w:color w:val="auto"/>
        </w:rPr>
        <w:t>– Our Chemicals Segment has substantial operations and assets located outside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in Germany, Belgium, Norway and Canada). The majority of our Chemicals Segment’s sales from non-U.S. operations are</w:t>
      </w:r>
    </w:p>
    <w:p>
      <w:pPr>
        <w:sectPr>
          <w:pgSz w:w="11900" w:h="16838" w:orient="portrait"/>
          <w:cols w:equalWidth="0" w:num="1">
            <w:col w:w="9920"/>
          </w:cols>
          <w:pgMar w:left="980" w:top="513" w:right="999"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denominated in currencies other than the U.S. dollar, principally the euro, other major European currencies and the Canadian dollar. A portion of our Chemicals Segment’s sales generated from its non-U.S. operations is denominated in the U.S. dollar (and consequently our Chemicals Segment’s non-U.S. operations will generally hold U.S. dollars from time to time). Certain raw materials used in all our Chemicals Segment’s production facilities, primarily titanium-containing feedstocks, are purchased primarily in U.S. dollars, while labor and other production and administrative costs are incurred primarily in local currencies. Consequently, the translated U.S. dollar value of our Chemicals Segment’s non-U.S. sales and operating results are subject to currency exchange rate fluctuations which may favorably or unfavorably impact reported earnings and may affect the comparability of period-to-period operating results. In addition to the impact of the translation of sales and expenses over time, our Chemicals Segment’s non-U.S. operations also generate currency transaction gains and losses which primarily relate to (i) the difference between the currency exchange rates in effect when non-local currency sales or operating costs (primarily U.S. dollar denominated) are initially accrued and when such amounts are settled with the non-local currency,</w:t>
      </w:r>
    </w:p>
    <w:p>
      <w:pPr>
        <w:spacing w:after="0" w:line="5" w:lineRule="exact"/>
        <w:rPr>
          <w:sz w:val="20"/>
          <w:szCs w:val="20"/>
          <w:color w:val="auto"/>
        </w:rPr>
      </w:pPr>
    </w:p>
    <w:p>
      <w:pPr>
        <w:jc w:val="both"/>
        <w:ind w:right="40" w:firstLine="8"/>
        <w:spacing w:after="0" w:line="253" w:lineRule="auto"/>
        <w:tabs>
          <w:tab w:leader="none" w:pos="2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exchange rates during time periods when our Chemicals Segment’s non-U.S. operations are holding non-local currency (primarily U.S. dollars), and (iii) relative changes in the aggregate fair value of currency forward contracts held from time to time. We periodically use currency forward contracts to manage a portion of our currency exchange risk, and relative changes in the aggregate fair value of any currency forward contracts we hold from time to time serves in part to mitigate the currency transaction gains or losses we would recognize from the first two items described above.</w:t>
      </w:r>
    </w:p>
    <w:p>
      <w:pPr>
        <w:spacing w:after="0" w:line="146"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Fluctuations in currency exchange rates had the following effects on our Chemicals Segment’s sales and operating income (loss) for the periods indicated.</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Impact of changes in currency exchange rates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vs September 30,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4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currency</w:t>
            </w: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Transaction losses recognized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impact of</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impact</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18"/>
                <w:szCs w:val="18"/>
                <w:color w:val="auto"/>
              </w:rPr>
            </w:pP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​​​rate changes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2026 vs 2025</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5"/>
              </w:rPr>
              <w:t>(In millions)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on:</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The $2 million decrease in our Chemicals Segment net sales (translation losses) was caused primarily by a strengthening of the U.S. dollar relative to the euro, as our euro-denominated sales were translated into less U.S. dollars in 2026 as compared to 2025. The strengthening of the U.S. dollar relative to the Canadian dollar and the weakening of the U.S. dollar relative to the Norwegian krone in 2026 did not have a significant effect on our Chemicals Segment’s net sales, as a substantial portion of the sales generated by its Canadian and Norwegian operations is denominated in the U.S. dollar.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$5 million decrease in our Chemicals Segment’s operating income was comprised of the following:</w:t>
      </w:r>
    </w:p>
    <w:p>
      <w:pPr>
        <w:spacing w:after="0" w:line="117" w:lineRule="exact"/>
        <w:rPr>
          <w:sz w:val="20"/>
          <w:szCs w:val="20"/>
          <w:color w:val="auto"/>
        </w:rPr>
      </w:pPr>
    </w:p>
    <w:p>
      <w:pPr>
        <w:jc w:val="both"/>
        <w:ind w:left="880" w:right="40" w:hanging="413"/>
        <w:spacing w:after="0" w:line="258"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 million from net currency translation losses primarily caused by a weakening of the U.S. dollar relative to Norwegian krone as local currency-denominated operating costs were translated into more U.S. dollars in 2026 as compared to 2025. Additionally, the effect of the strengthening of the U.S. dollar relative to the euro caused further net translation losses, as the negative effects of the stronger U.S. dollar on euro-denominated sales more than offset the favorable effects on euro-denominated operating costs being translated into less U.S. dollars in 2026 as compared to 2025, and</w:t>
      </w:r>
    </w:p>
    <w:p>
      <w:pPr>
        <w:spacing w:after="0" w:line="183" w:lineRule="exact"/>
        <w:rPr>
          <w:rFonts w:ascii="Times New Roman" w:cs="Times New Roman" w:eastAsia="Times New Roman" w:hAnsi="Times New Roman"/>
          <w:sz w:val="18"/>
          <w:szCs w:val="18"/>
          <w:color w:val="auto"/>
        </w:rPr>
      </w:pPr>
    </w:p>
    <w:p>
      <w:pPr>
        <w:ind w:left="880" w:hanging="41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minimal impact from the effect of the rate changes on transaction gains and losses.</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Impact of changes in currency exchange rates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vs September 30,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gains/(losses)</w:t>
            </w:r>
          </w:p>
        </w:tc>
        <w:tc>
          <w:tcPr>
            <w:tcW w:w="14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currency</w:t>
            </w:r>
          </w:p>
        </w:tc>
        <w:tc>
          <w:tcPr>
            <w:tcW w:w="0" w:type="dxa"/>
            <w:vAlign w:val="bottom"/>
          </w:tcPr>
          <w:p>
            <w:pPr>
              <w:spacing w:after="0"/>
              <w:rPr>
                <w:sz w:val="1"/>
                <w:szCs w:val="1"/>
                <w:color w:val="auto"/>
              </w:rPr>
            </w:pPr>
          </w:p>
        </w:tc>
      </w:tr>
      <w:tr>
        <w:trPr>
          <w:trHeight w:val="238"/>
        </w:trPr>
        <w:tc>
          <w:tcPr>
            <w:tcW w:w="2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9"/>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Transaction gains (losses) recognized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impact of</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impact</w:t>
            </w: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18"/>
                <w:szCs w:val="18"/>
                <w:color w:val="auto"/>
              </w:rPr>
            </w:pP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​​​rate changes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2026 vs 2025</w:t>
            </w: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(In millions)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on:</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980" w:top="513" w:right="959" w:bottom="1440" w:gutter="0" w:footer="0" w:header="0"/>
        </w:sectPr>
      </w:pP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$39 million increase in our Chemicals Segment’s net sales (translation gains) was caused primarily by a weakening of the U.S. dollar relative to the euro, as our euro-denominated sales were translated into more U.S. dollars in 2026 as compared to 2025. The weakening of the U.S. dollar relative to the Canadian dollar and the Norwegian krone in 2026 did not have a significant effect on our Chemicals Segment’s net sales, as a substantial portion of the sales generated by its Canadian and Norwegian operations is denominated in the U.S. dollar.</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$23 million decrease in our Chemicals Segment’s operating income was comprised of the following:</w:t>
      </w:r>
    </w:p>
    <w:p>
      <w:pPr>
        <w:spacing w:after="0" w:line="185" w:lineRule="exact"/>
        <w:rPr>
          <w:sz w:val="20"/>
          <w:szCs w:val="20"/>
          <w:color w:val="auto"/>
        </w:rPr>
      </w:pPr>
    </w:p>
    <w:p>
      <w:pPr>
        <w:jc w:val="both"/>
        <w:ind w:left="1160" w:hanging="477"/>
        <w:spacing w:after="0" w:line="254"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currency transaction losses of approximately $11 million primarily caused by relative changes in currency exchange rates at each applicable balance sheet date between the U.S. dollar and the euro, Canadian dollar and the Norwegian krone, and between the euro and the Norwegian krone, which causes increases or decreases, as applicable, in U.S. dollar-denominated receivables and payables and U.S. dollar currency held by our Chemicals Segment’s non-U.S. operations, and in Norwegian krone denominated receivables and payables held by our Chemicals Segment’s non-U.S. operations. In the first quarter of 2025, our Chemicals Segment entered into a currency forward contract to purchase €25 million at an exchange rate of €1.05 per U.S. dollar. The contract was settled in August 2025, resulting in a $2.8 million currency transaction gain in our Condensed Consolidated Statement of Operations for the nine months ended September 30, 2025, and</w:t>
      </w:r>
    </w:p>
    <w:p>
      <w:pPr>
        <w:spacing w:after="0" w:line="80" w:lineRule="exact"/>
        <w:rPr>
          <w:rFonts w:ascii="Times New Roman" w:cs="Times New Roman" w:eastAsia="Times New Roman" w:hAnsi="Times New Roman"/>
          <w:sz w:val="18"/>
          <w:szCs w:val="18"/>
          <w:color w:val="auto"/>
        </w:rPr>
      </w:pPr>
    </w:p>
    <w:p>
      <w:pPr>
        <w:jc w:val="both"/>
        <w:ind w:left="1160" w:right="20" w:hanging="477"/>
        <w:spacing w:after="0" w:line="258" w:lineRule="auto"/>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 million from net currency translation losses primarily caused by a weakening of the U.S. dollar relative to the Canadian dollar, Norwegian krone and euro, as local currency-denominated operating costs were translated into more U.S. dollars in 2026 as compared to 2025. The net translation gains from the favorable effects of the weaker U.S. dollar on euro-denominated sales were more than offset by the negative effects on euro-denominated operating costs being translated into more U.S. dollars in 2026 as compared to 2025.</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Outlook – </w:t>
      </w:r>
      <w:r>
        <w:rPr>
          <w:rFonts w:ascii="Times New Roman" w:cs="Times New Roman" w:eastAsia="Times New Roman" w:hAnsi="Times New Roman"/>
          <w:sz w:val="18"/>
          <w:szCs w:val="18"/>
          <w:color w:val="auto"/>
        </w:rPr>
        <w:t>During the third quarter of 2026, our Chemicals Segment continued the positive momentum from the first 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with sales volumes improving compared to the same period in 2025. Volume growth was driven primarily by market share gains in Europe and North America, reflecting the effect of anti-dumping duties in certain markets and changing supply conditions. While sales volumes have improved compared to 2025, overall demand remains below historical levels, particularly in North America, where demand continues to be affected by broader economic uncertainty, prolonged housing market weakness caused by elevated interest rates and subdued consumer spending. Customer order lead times have recently begun to decline, consistent with the seasonal slowdown typically experienced during the fourth quarter. Our Chemicals Segment’s order backlog entering the fourth quarter remains favorable compared to the prior year, and combined with planned maintenance activities at several of our Chemicals Segment’s facilities, it expects its finished goods inventory levels to remain below normal.</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our Chemicals Segment’s performance during the first nine months of 2026, our Chemicals Segment expects full-year net sales and sales volumes to exceed 2025 levels, and it expects gross margin and operating income margins to improve compared to 2025. Our Chemicals Segment implemented additional price increases during the second and third quarters of 2026 in response to higher production, energy and distribution costs, and, based on price increases our Chemicals Segment has announced to its customers and continued cost pressures, our Chemicals Segment expects its average TiO2 selling prices in the fourth quarter of 2026 to be improved. Actual prices depend on negotiations with our Chemicals Segment’s customers and competitive conditions, which it cannot predict. Based on publicly available information, certain previously idled third-party European production facilities have recently resumed some production. We cannot predict the effect of any such production on market conditions.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cost reduction initiatives implemented by our Chemicals Segment during the fourth quarter of 2025, including workforce reductions and other measures designed to align its cost structure with current demand levels, continue to benefit its operating results in 2026. Gross margins improved during the third quarter and first nine months of 2026 and are expected to remain above 2025 levels for the full year, benefiting from lower cost inventory produced during 2026, more favorable selling prices and the ongoing effects of its cost-reduction initiatives. Our Chemicals Segment’s operational restructuring allows it to run its facilities more efficiently at lower production rates for extended periods while maintaining flexibility to respond to changing market conditions. Our Chemicals Segment operated its facilities within its normal capacity range during the first nine months of 2026, and our Chemicals Segment currently expects to continue operating within its normal capacity range for the remainder of the year.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Chemicals Segment remains focused on improving profitability through pricing actions, disciplined cost management, and continued execution of its cost reduction initiatives. Our Chemicals Segment also continues to pursue targeted sales growth opportunities in regions affected by logistical challenges and trade measures that have reduced the competitiveness of certain imports.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Liquidity and capital resources remain sufficient to support our Chemicals Segment’s operations and planned capital investments. While our Chemicals Segment typically experiences significant seasonal cash usage in the first half of the year, it expects liquidity to improve over the remainder of 2026. Our Chemicals Segment will continue to actively manage working capital, including inventories and receivables, to bolster operating cash flows and maintain financial flexibility. Our Chemicals Segment believes availability under its revolving credit facility, combined with the absence of near-term debt maturities and improved operating cash flows, will provide adequate liquidity for expected working capital needs and capital allocation priorities.</w:t>
      </w:r>
    </w:p>
    <w:p>
      <w:pPr>
        <w:spacing w:after="0" w:line="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expectations for the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industry and our Chemicals Segment’s operations are based on a number of factors outside our control. Our Chemicals Segment’s operations are affected by global and regional economic, political and regulatory factors, and it has experienced global market disruptions. Future impacts on our Chemicals Segment’s operations will depend on, among other things, future energy costs, the effect of newly enacted tariffs in jurisdictions where it or its customers and suppliers operate, its success in implementing mitigation strategies, and the impact of economic conditions, consumer confidence, and geopolitical events on its operations or its customers’ and suppliers’ operations, all of which remain uncertain and cannot be predicted.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 Products –</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Component Products Segment’s product offerings consist of a significantly large number of products that have a wide variation in selling price and manufacturing cost, which results in certain practical limitations on its ability to quantify the impact of changes in individual product sales quantities and selling prices on the segment’s net sales, cost of sales and gross margin. In addition, small variations in period-to-period net sales, cost of sales and gross margin can result from changes in the relative mix of our Component Products Segment’s products sold. The key performance indicator for our Component Products Segment is operating income</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Component Products Segment’s operating income in the third quarter of 2026 was $6.4 million compared to $4.8 million in the same period of 2025. Operating income for the first nine months of 2026 was $22.4 million compared to $17.0 million for the comparable prior year period. Our Component Products Segment’s operating income increased in the third quarter and for the first nine months of 2026 due to higher sales and gross margin at the security products and marine components reporting units.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44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Change</w:t>
            </w:r>
          </w:p>
        </w:tc>
        <w:tc>
          <w:tcPr>
            <w:tcW w:w="240" w:type="dxa"/>
            <w:vAlign w:val="bottom"/>
          </w:tcPr>
          <w:p>
            <w:pPr>
              <w:spacing w:after="0"/>
              <w:rPr>
                <w:sz w:val="18"/>
                <w:szCs w:val="18"/>
                <w:color w:val="auto"/>
              </w:rPr>
            </w:pP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(Dollars</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w:t>
            </w:r>
          </w:p>
        </w:tc>
        <w:tc>
          <w:tcPr>
            <w:tcW w:w="960" w:type="dxa"/>
            <w:vAlign w:val="bottom"/>
            <w:tcBorders>
              <w:top w:val="single" w:sz="8" w:color="auto"/>
            </w:tcBorders>
            <w:gridSpan w:val="2"/>
          </w:tcPr>
          <w:p>
            <w:pPr>
              <w:jc w:val="right"/>
              <w:ind w:right="230"/>
              <w:spacing w:after="0" w:line="196" w:lineRule="exact"/>
              <w:rPr>
                <w:sz w:val="20"/>
                <w:szCs w:val="20"/>
                <w:color w:val="auto"/>
              </w:rPr>
            </w:pPr>
            <w:r>
              <w:rPr>
                <w:rFonts w:ascii="Times New Roman" w:cs="Times New Roman" w:eastAsia="Times New Roman" w:hAnsi="Times New Roman"/>
                <w:sz w:val="18"/>
                <w:szCs w:val="18"/>
                <w:b w:val="1"/>
                <w:bCs w:val="1"/>
                <w:color w:val="auto"/>
                <w:w w:val="92"/>
              </w:rPr>
              <w:t>millions)</w:t>
            </w:r>
          </w:p>
        </w:tc>
        <w:tc>
          <w:tcPr>
            <w:tcW w:w="2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(Dollars</w:t>
            </w:r>
          </w:p>
        </w:tc>
        <w:tc>
          <w:tcPr>
            <w:tcW w:w="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w:t>
            </w:r>
          </w:p>
        </w:tc>
        <w:tc>
          <w:tcPr>
            <w:tcW w:w="98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millions)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Security products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6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4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Marine components</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net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128.2</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6.4</w:t>
            </w:r>
          </w:p>
        </w:tc>
        <w:tc>
          <w:tcPr>
            <w:tcW w:w="10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22.4</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32</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net sales: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72 %</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70 %</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70 %</w:t>
            </w:r>
          </w:p>
        </w:tc>
        <w:tc>
          <w:tcPr>
            <w:tcW w:w="200" w:type="dxa"/>
            <w:vAlign w:val="bottom"/>
          </w:tcPr>
          <w:p>
            <w:pPr>
              <w:spacing w:after="0"/>
              <w:rPr>
                <w:sz w:val="18"/>
                <w:szCs w:val="18"/>
                <w:color w:val="auto"/>
              </w:rPr>
            </w:pPr>
          </w:p>
        </w:tc>
        <w:tc>
          <w:tcPr>
            <w:tcW w:w="214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 xml:space="preserve">67 %  </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 Our Component Products Segment’s net sales increased $4.0 million in the third quarter of 2026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2025 primarily due to higher marine components sales to the towboat and industrial markets, and to a lesser extent, higher security products sales to the healthcare and tool storage markets. Our Component Products Segment’s net sales increased $7.6 million for the first nine months of 2026 compared to the same period in 2025 primarily due to higher marine components sales to the industrial market and higher security products sales to various markets including the healthcare, tool storage, transportation and distribution markets. The increase in third quarter security products sales was primarily due to $1.4 million higher sales to the healthcare market and $.6 million higher sales to the tool storage market, partially offset by $.8 million lower sales to the government security market. The increase in security products sales for the first nine months of 2026 was primarily due to $2.0 million higher sales to the healthcare market, $1.3 million higher sales to the tool storage market, $1.1 million higher sales to the transportation market and $.6 million higher sales to distributors, partially offset by $1.1 million lower sales to the government security market. The increase in third quarter marine components sales was primarily due to $1.1 million higher sales to the towboat market and $.9 million higher sales to the industrial market. The increase in marine components sales for the first nine months of 2026 was primarily due to $4.4 million higher sales to the industrial market and $.5 million higher sales to the engine builder market, partially offset by $.7 million lower sales to the government market and $.5 million lower sales to each of the towboat and the center console markets. Towboat market sales in the first quarter of 2025 benefited from a one-time customer stocking event that did not repeat in 2026.</w:t>
      </w:r>
    </w:p>
    <w:p>
      <w:pPr>
        <w:sectPr>
          <w:pgSz w:w="11900" w:h="16838" w:orient="portrait"/>
          <w:cols w:equalWidth="0" w:num="1">
            <w:col w:w="9920"/>
          </w:cols>
          <w:pgMar w:left="980" w:top="513" w:right="99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Sales and Gross Margin </w:t>
      </w:r>
      <w:r>
        <w:rPr>
          <w:rFonts w:ascii="Times New Roman" w:cs="Times New Roman" w:eastAsia="Times New Roman" w:hAnsi="Times New Roman"/>
          <w:sz w:val="18"/>
          <w:szCs w:val="18"/>
          <w:color w:val="auto"/>
        </w:rPr>
        <w:t>– Our Component Products Segment’s cost of sales as a percentage of net sales improved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 and 3% in the third quarter and first nine months of 2026, respectively, compared to the same periods in 2025. As a result, gross margin as a percentage of net sales increased over the same periods. The improvement in gross margin percentage for the third quarter was due to higher gross margin percentages at both security products and marine components, while the improvement for the first nine months of 2026 was primarily due to the improvement in gross margin percentage at security products. Marine components’ gross margin as a percentage of net sales increased in the third quarter of 2026 compared to the same period in 2025 primarily due to increased coverage of fixed costs on higher sales, partially offset by a less favorable customer and product mix. Marine components’ gross margin as a percentage of net sales for the first nine months of 2026 was comparable to the same period in 2025 as increased coverage of fixed costs on higher sales were largely offset by a less favorable customer and product mix. Security products’ gross margin as a percentage of net sales for the third quarter of 2026 increased compared to the same period in 2025 due to lower cost inventory produced during the second quarter of 2026 and sold in the third quarter of 2026 and increased coverage of fixed costs as a result of higher sales. Security products’ gross margin as a percentage of net sales for the first nine months of 2026 increased compared to the same period in 2025 primarily due to a more favorable customer and product mix and lower cost of sales driven by lower employer-related medical expenses and the one-time recovery of prior-period import costs recognized during the second quarter of 2026.</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 As a percentage of net sales, our Component Products Segment’s operating income for the third quarter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nine months of 2026 increased compared to the same periods of 2025 and was primarily impacted by the factors affecting sales, cost of sales and gross margin discussed above.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Outlook – </w:t>
      </w:r>
      <w:r>
        <w:rPr>
          <w:rFonts w:ascii="Times New Roman" w:cs="Times New Roman" w:eastAsia="Times New Roman" w:hAnsi="Times New Roman"/>
          <w:sz w:val="18"/>
          <w:szCs w:val="18"/>
          <w:color w:val="auto"/>
        </w:rPr>
        <w:t>Our Component Products Segment’s results for the first nine months of 2026 reflected higher sales and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profitability in both the security products and marine components reporting units. Demand remained strong in several key security products end markets, including healthcare, tool storage, and transportation. Marine components continued to benefit primarily from industrial market demand as well as increased towboat demand in the third quarter. Our Component Products Segment expects these favorable trends to continue throughout the remainder of 2026 and it expects net sales, gross margin and operating income for the full year of 2026 to exceed 2025 levels. At the security products reporting unit, it expects healthcare demand to remain strong, while government security sales are expected to remain slightly below prior year levels. At the marine components reporting unit, it expects demand to remain driven primarily by the industrial market, while towboat market sales are expected to remain relatively consistent with prior year levels.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support these favorable demand trends and anticipated growth opportunities, our Component Products Segment is making targeted investments, primarily in its marine components reporting unit, to expand capacity, enhance operational capabilities and improve overall efficiency, including increased personnel levels and capital expenditures. Although demand remains favorable across many of our Component Products Segment’s end markets, it will continue to monitor economic conditions and customer ordering patterns for signs of slowing activity in certain sectors.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Component Products Segment manufactures substantially all of its products in the United States and sources a substantial majority of its raw materials from U.S. suppliers. Our Component Products Segment also sources certain components, primarily electronic components, from suppliers in Asia, including China. Tariff-related costs and inflationary pressures affecting certain raw materials remain elevated relative to historical levels. In addition, our Component Products Segment has recently experienced difficulties or delays in sourcing certain electronic components, in some cases resulting in increased costs (including higher inbound freight costs) to minimize shipping delays. Where appropriate, our Component Products Segment continues to adjust selling prices to offset higher costs, although its ability to fully recover these costs depends on competitive conditions, customer demand, tariff levels and the availability of alternative sources. Our Component Products Segment continues to monitor potential changes in tariff policies and their impact on raw material costs, sourcing decisions and customer demand. Accordingly, our Component Products Segment continues to closely monitor raw material costs, including zinc, brass, aluminum, steel and energy, as well as customer demand levels, to ensure its production capacity and inventory levels remain aligned with market conditions.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Component Products Segment’s expectations for its operations and the markets it serves are based on a number of factors outside its control. Currently, our Component Products Segment’s supply chains are stable and transportation and logistical delays are minimal. Our Component Products Segment has experienced global and domestic supply chain challenges in the past. Any future impacts on its operations will depend on, among other things, disruption to its operations or its suppliers’ operations, the effect of tariffs, and the impact of broader economic conditions, consumer confidence, and geopolitical events affecting demand for its products or its customers’ and suppliers’ operations, all of which remain uncertain and cannot be predicted.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Real Estate Management and Development </w:t>
            </w: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Borders>
              <w:bottom w:val="single" w:sz="8" w:color="auto"/>
            </w:tcBorders>
          </w:tcPr>
          <w:p>
            <w:pPr>
              <w:spacing w:after="0"/>
              <w:rPr>
                <w:sz w:val="20"/>
                <w:szCs w:val="20"/>
                <w:color w:val="auto"/>
              </w:rPr>
            </w:pP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6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2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vMerge w:val="continue"/>
          </w:tcPr>
          <w:p>
            <w:pPr>
              <w:spacing w:after="0"/>
              <w:rPr>
                <w:sz w:val="19"/>
                <w:szCs w:val="19"/>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 </w:t>
      </w:r>
      <w:r>
        <w:rPr>
          <w:rFonts w:ascii="Times New Roman" w:cs="Times New Roman" w:eastAsia="Times New Roman" w:hAnsi="Times New Roman"/>
          <w:sz w:val="18"/>
          <w:szCs w:val="18"/>
          <w:color w:val="auto"/>
        </w:rPr>
        <w:t>Our Real Estate Management and Development Segment consists of BMI and LandWell. BMI and LandWell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developed real property in Henderson, Nevada. LandWell is actively engaged in developing a residential/planned community in Henderson.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LandWell began marketing land for sale in the residential/planned community in December 2013 and sold the last remaining parcel during 2025. In addition, adjacent to the residential/planned community, LandWell has been actively marketing and selling land zoned for commercial and light industrial use and sold the last of those remaining parcels during the first quarter of 2026. Although land sales may be completed, we do not recognize revenue until we have satisfied the criteria for revenue recognition. In some instances, LandWell received cash proceeds at the time the contract closed and recorded deferred revenue for some or all of the cash amount received, with such deferred revenue being recognized in subsequent periods. Although all of the land in the residential/planned community has been sold, we continue to complete our development obligations. We expect the development work to be completed by the end of 2027.</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Net Sales and Operating Income – </w:t>
      </w:r>
      <w:r>
        <w:rPr>
          <w:rFonts w:ascii="Times New Roman" w:cs="Times New Roman" w:eastAsia="Times New Roman" w:hAnsi="Times New Roman"/>
          <w:sz w:val="18"/>
          <w:szCs w:val="18"/>
          <w:color w:val="auto"/>
        </w:rPr>
        <w:t>Substantially all of the net sales from our Real Estate Management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 the third quarter and the first nine months of 2026 and 2025 were from land sales. We recognized $3.9 million in revenues on land sales during the third quarter of 2026 compared to $6.6 million in revenues in the third quarter of 2025 and $18.0 million in the first nine months of 2026 compared to $20.8 million in the same prior year period. Net sales decreased in the third quarter and first nine months of 2026 compared to the same periods in 2025 due to the significantly slower pace of development activity for previously sold parcels within the residential/planned community as our Real Estate Management and Development Segment nears completion of its development work. Lower land sales revenue for the first nine months of 2026 was partially offset by the sale of the final commercial parcel for $7.3 million in the first quarter of 2026, which had no further development obligations and was therefore immediately recognized as revenue. As noted above, we recognize revenue in our residential/planned community over time using cost-based input methods. All of the revenue we recognized in 2025 and 2026 for our residential/planned community was under this method of revenue recognition. The pace of development activities is dictated by a number of factors such as city permit and design approval, approval from the Nevada Department of Environmental Protection, labor and materials availability, and the amount of remaining development obligations. Cost of sales were $1.7 million and $6.6 million in the third quarter and the first nine months of 2026, respectively, compared to $3.5 million and $10.9 million in the third quarter and first nine months of 2025, respectively. We recognized income of $16.7 million and $34.2 million related to tax increment infrastructure reimbursement in the first nine months of 2026 and 2025, respectively, including $17.0 million recognized in the third quarter of 2025. Additionally, operating income for the first nine months of 2026 includes the gain on sale of an office building of approximately $5.8 million.</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Outlook – </w:t>
      </w:r>
      <w:r>
        <w:rPr>
          <w:rFonts w:ascii="Times New Roman" w:cs="Times New Roman" w:eastAsia="Times New Roman" w:hAnsi="Times New Roman"/>
          <w:sz w:val="18"/>
          <w:szCs w:val="18"/>
          <w:color w:val="auto"/>
        </w:rPr>
        <w:t>LandWell is focused on completing development of the land it manages for the residential/planned community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Henderson. At September 30, 2026, all of the land in the residential/planned community had been sold as well as all saleable acreage zoned for light industrial and commercial use, including the office building LandWell used for its operations. As a result, we no longer own saleable land in Henderson. At September 30, 2026, we have deferred revenue of $21.8 million related to post-closing obligations on land sales in the residential/planned community closed prior to 2026. Because we recognize revenue over time using cost-based inputs, we will continue to recognize revenue on land previously sold over the development period, even though we have already received all the cash proceeds related to these sales. We currently expect to recognize substantially all remaining deferred revenue by the end of 2027. Any delays or curtailments in infrastructure development related to post-closing obligation activities would delay the timing of revenue recognized on these previously closed land sales.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LandWell’s development agreement with the City of Henderson, the issuance of a specified number of housing permits requires LandWell to complete certain large community-wide infrastructure projects. Construction on several of these large projects began in late 2021 and is expected to be completed in late 2027. We expect 2026 land development costs to be lower than those in 2025 primarily due to delays in approvals for planned infrastructure projects and the availability of certain construction materials. Because these large infrastructure projects relate to the entirety of the residential/planned community, the associated costs are not part of the cost-based inputs used to recognize revenue, and therefore, this spending will not correlate to revenue recognition. During the second quarter</w:t>
      </w:r>
    </w:p>
    <w:p>
      <w:pPr>
        <w:sectPr>
          <w:pgSz w:w="11900" w:h="16838" w:orient="portrait"/>
          <w:cols w:equalWidth="0" w:num="1">
            <w:col w:w="9920"/>
          </w:cols>
          <w:pgMar w:left="980" w:top="500" w:right="99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2026, LandWell received approval for the remaining tax increment reimbursement available, bringing the total approved reimbursement to the maximum amount of $170 million. We expect to receive cash payments on the related notes receivable over the next 5 to 7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Corporate and Other Items – 2026 Compared to 2025</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Changes in the Market Value of Valhi Common Stock held by Subsidiaries </w:t>
      </w:r>
      <w:r>
        <w:rPr>
          <w:rFonts w:ascii="Times New Roman" w:cs="Times New Roman" w:eastAsia="Times New Roman" w:hAnsi="Times New Roman"/>
          <w:sz w:val="18"/>
          <w:szCs w:val="18"/>
          <w:color w:val="auto"/>
        </w:rPr>
        <w:t>– Our subsidiaries, Kronos and NLI, hold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As discussed in the 2025 Annual Report, we account for our proportional interest in these shares of our common stock as treasury stock at Kronos’ and NLI’s historical cost basis. The remaining portion of these shares of our common stock, which are attributable to the noncontrolling interest of Kronos and NLI, are reflected in our Condensed Consolidated Balance Sheet at fair value. Kronos and NLI recognize unrealized gains or losses on these shares of our common stock in the determination of each of their respective net income or loss. Under the principles of consolidation we eliminate any gains or losses associated with our common stock to the extent of our proportional ownership interest in each subsidiary. We recognized a $.2 million unrealized gain in the third quarter of 2026 compared to a $.1 million unrealized loss in the third quarter of 2025 and an unrealized gain of $.8 million in the first nine months of 2026 compared to an unrealized loss of $1.8 million in the first nine months of 2025, each of which was recognized in our Condensed Consolidated Statements of Operations and represent the unrealized gain (loss) in respect of these shares during such periods attributable to the noncontrolling interest of Kronos and NLI.</w:t>
      </w:r>
    </w:p>
    <w:p>
      <w:pPr>
        <w:spacing w:after="0" w:line="19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Remeasurement of Earn-out Liability </w:t>
      </w:r>
      <w:r>
        <w:rPr>
          <w:rFonts w:ascii="Times New Roman" w:cs="Times New Roman" w:eastAsia="Times New Roman" w:hAnsi="Times New Roman"/>
          <w:sz w:val="18"/>
          <w:szCs w:val="18"/>
          <w:color w:val="auto"/>
        </w:rPr>
        <w:t>– We recognized a gain on the remeasurement of Kronos’ earn-out liability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 million in the third quarter of 2025. See Note 2 to our Condensed Consolidated Financial Statements.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Income and Other </w:t>
      </w:r>
      <w:r>
        <w:rPr>
          <w:rFonts w:ascii="Times New Roman" w:cs="Times New Roman" w:eastAsia="Times New Roman" w:hAnsi="Times New Roman"/>
          <w:sz w:val="18"/>
          <w:szCs w:val="18"/>
          <w:color w:val="auto"/>
        </w:rPr>
        <w:t>– Interest income and other decreased $.5 million in the third quarter of 2026 compared to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2025 due to decreased interest rates partially offset by increased interest income received on the Real Estate Management and Development tax increment note receivable. Interest income and other decreased $1.0 million in the first nine months of 2026 compared to the first nine months of 2025 due to decreased average investment balances and lower average interest rates, which were slightly offset by increased interest income received on the Real Estate Management and Development tax increment note receivable. See Note 12 to our Condensed Consolidated Financial Statements.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General Corporate Items </w:t>
      </w:r>
      <w:r>
        <w:rPr>
          <w:rFonts w:ascii="Times New Roman" w:cs="Times New Roman" w:eastAsia="Times New Roman" w:hAnsi="Times New Roman"/>
          <w:sz w:val="18"/>
          <w:szCs w:val="18"/>
          <w:color w:val="auto"/>
        </w:rPr>
        <w:t>– Corporate expenses were 13% lower in the third quarter of 2026 compared to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2025 primarily due to lower general and administrative costs partially offset by higher environmental remediation and related costs. Corporate expenses were 8% lower in the first nine months of 2026 primarily due to lower general and administrative costs and lower environmental remediation and related costs. Included in corporate expense are:</w:t>
      </w:r>
    </w:p>
    <w:p>
      <w:pPr>
        <w:spacing w:after="0" w:line="182" w:lineRule="exact"/>
        <w:rPr>
          <w:sz w:val="20"/>
          <w:szCs w:val="20"/>
          <w:color w:val="auto"/>
        </w:rPr>
      </w:pPr>
    </w:p>
    <w:p>
      <w:pPr>
        <w:ind w:left="1000" w:right="2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fees and related costs at NLI of $1.1 million in each of the third quarters of 2026 and 2025 and $2.3 million in the first nine months of 2026 compared to $2.2 million in the same period of 2025; and</w:t>
      </w:r>
    </w:p>
    <w:p>
      <w:pPr>
        <w:spacing w:after="0" w:line="54"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remediation and related costs of $.6 million in the third quarter of 2026 compared to $.2 million in the third quarter of 2025 and $1.6 million in the first nine months of 2026 compared to $2.4 million in the first nine months of 2025.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Overall, we currently expect that our net general corporate expenses in 2026 will be higher than in 2025 primarily due to expected increases in litigation fees and related costs, predominantly in the fourth quarter of the year. See Note 16 to our Condensed Consolidated Financial Statements.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level of our litigation fees and related expenses varies from period to period depending upon, among other things, the number of cases in which we are currently involved, the nature of such cases and the current stage of such cases (e.g. discovery, pre-trial motions, trial or appeal, if applicable). See Note 16 to our Condensed Consolidated Financial Statements. If our current expectations regarding the number of cases in which we expect to be involved during 2026, or the nature of such cases were to change, our corporate expenses could be higher than we currently estimate.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Obligations for environmental remediation and related costs are difficult to assess and estimate and it is possible that actual costs for environmental remediation and related costs will exceed accrued amounts or that costs will be incurred in the future for sites in which we cannot currently estimate the liability. If these events occur in 2026, our corporate expense could be higher than we currently estimate. In addition, we adjust our accruals for environmental remediation and related costs as further information becomes available to us or as circumstances change. Such further information or changed circumstances could result in an increase or reduction in our accrued environmental remediation and related costs. See Note 16 to our Condensed Consolidated Financial Statements.</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Interest expense decreased $1.1 million in the third quarter of 2026 compared to the third quarter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overall average debt balances. Interest expense increased $1.3 million in the first nine months of 2026 compared</w:t>
      </w:r>
    </w:p>
    <w:p>
      <w:pPr>
        <w:sectPr>
          <w:pgSz w:w="11900" w:h="16838" w:orient="portrait"/>
          <w:cols w:equalWidth="0" w:num="1">
            <w:col w:w="9920"/>
          </w:cols>
          <w:pgMar w:left="980" w:top="513" w:right="999"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first nine months in 2025 primarily due to higher average interest rates. See Note 7 to our Condensed Consolidated Financial Statements.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interest expense will be higher in 2026 as compared to 2025 primarily due to higher average debt balances and higher interest rates on Kronos’ debt issued in the third quarter of 2025.</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 We recognized income tax expense of $8.0 million in the third quarter of 2026 compared to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$14.3 million in the third quarter of 2025 and income tax expense of $26.1 million in the first nine months of 2026 compared to $30.3 million in the first nine months of 2025. The decrease in the third quarter and first nine months of 2026 is primarily due to the impact of the change in our §987 currency translation gain as a result of proposed currency regulations issued in August 2026 and recognized in the third quarter of 2026 and the impact of the German federal tax rate change on our German net deferred tax asset recorded in the third quarter of 2025, partially offset by the higher earnings in 2026 and the jurisdictional mix of such earnings. During interim periods, our effective tax rate may not necessarily correspond to the current period income (loss) before taxes due to the application of accounting for income taxes in interim periods which requires us to base our effective rate on full year projections of pre-tax income (loss).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recognize deferred income taxes with respect to the excess of the financial reporting carrying amount over the income tax basis of our direct investment in Kronos common stock because the exemption under GAAP to avoid such recognition of deferred income taxes is not available to us. At December 31, 2025, we recognized a deferred income tax liability with respect to our direct investment in Kronos of $49.7 million. There is a maximum amount (or cap) of such deferred income taxes we are required to recognize with respect to our direct investment in Kronos. The maximum amount of the cap is $153.6 million. During the first nine months of 2026, we recognized a $2.1 million non-cash deferred income tax benefit with respect to our direct investment in Kronos. This benefit reflects a decrease in the deferred income taxes required to be recognized on the excess of the financial reporting carrying amount over the income tax basis of our direct investment in Kronos common stock and was related to our equity in Kronos’ net income during the period. We recognized a similar deferred income tax benefit of $4.9 million in the first nine months of 2025. A portion of the net change with respect to the excess of the financial reporting carrying amount over the income tax basis of our direct investment in Kronos common stock during such periods related to our equity in Kronos’ other comprehensive income (loss) items, and the amounts allocated to other comprehensive income (loss) items includes amounts related to our equity in Kronos’ other comprehensive income (loss) items.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December 31, 2025, our Chemicals Segment had German corporate and trade net operating loss (“NOL”) carryforwards of $512.6 million (deferred tax asset (“DTA”) of $57.5 million) and $48.2 million (DTA of $5.2 million), respectively. We have previously concluded no valuation allowance is required to be recognized with respect to such carryforwards principally because (i) such carryforwards have an indefinite carryforward period, (ii) we have utilized a portion of such carryforwards during the most recent three-year period and (iii) we currently expect to utilize the remainder of such carryforwards over the long term. At September 30, 2026, we continue to conclude no valuation allowance is required to be recognized for our German DTAs. However, prior to the complete utilization of such carryforwards, if we were to generate additional losses in our German operations for an extended period of time, or if applicable laws were to change such that the carryforward periods were more limited, it is possible that we might conclude the benefit of such carryforwards would no longer meet the more-likely-than-not recognition criteria, at which point we would be required to recognize a valuation allowance against some or all of the then-remaining tax benefit associated with the carryforwards.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13 to our Condensed Consolidated Financial Statements for a tabular reconciliation of our statutory income tax provision to our actual tax provision.</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Noncontrolling Interest in Net Income of Subsidiaries </w:t>
      </w:r>
      <w:r>
        <w:rPr>
          <w:rFonts w:ascii="Times New Roman" w:cs="Times New Roman" w:eastAsia="Times New Roman" w:hAnsi="Times New Roman"/>
          <w:sz w:val="18"/>
          <w:szCs w:val="18"/>
          <w:color w:val="auto"/>
        </w:rPr>
        <w:t>– Noncontrolling interest in operations of subsidiaries in the first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2026 was higher compared to the same period in 2025 primarily due to increased operating income at our Chemicals Segment and NLI. See Note 14 to our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Trends in cash flows from operating activities (excluding the impact of significant asset dispositions and relative changes in assets and liabilities) are generally similar to trends in our operating income. In addition to the impact of the operating, investing and financing cash flows discussed below, changes in the amount of cash, cash equivalents and restricted cash we report from period to period can be impacted by changes in currency exchange rates, since a portion of our cash, cash equivalents and restricted cash is held by our non-U.S. subsidiaries.</w:t>
      </w:r>
    </w:p>
    <w:p>
      <w:pPr>
        <w:sectPr>
          <w:pgSz w:w="11900" w:h="16838" w:orient="portrait"/>
          <w:cols w:equalWidth="0" w:num="1">
            <w:col w:w="9920"/>
          </w:cols>
          <w:pgMar w:left="980" w:top="513" w:right="99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$71.7 million in the first nine months of 2026 compared to cash used in operating activities of $136.1 million in the first nine months of 2025. This $207.8 million increase in cash provided by operating activities in the first nine months of 2026 includes:</w:t>
      </w:r>
    </w:p>
    <w:p>
      <w:pPr>
        <w:spacing w:after="0" w:line="176" w:lineRule="exact"/>
        <w:rPr>
          <w:sz w:val="20"/>
          <w:szCs w:val="20"/>
          <w:color w:val="auto"/>
        </w:rPr>
      </w:pPr>
    </w:p>
    <w:p>
      <w:pPr>
        <w:ind w:left="1000" w:right="4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income of $168.0 million in the first nine months of 2026, an increase of $73.8 million compared to operating income of $94.2 million in the first nine months of 2025;</w:t>
      </w:r>
    </w:p>
    <w:p>
      <w:pPr>
        <w:spacing w:after="0" w:line="53"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cash paid for environmental remediation and related costs of $56.9 million primarily due to the payment of a settlement for an environmental site in 2025;</w:t>
      </w:r>
    </w:p>
    <w:p>
      <w:pPr>
        <w:spacing w:after="0" w:line="53"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amount of net cash used in 2026 of $59.9 million associated with relative changes in our receivables, inventories, land held for development, accounts with affiliates, payables and accrued liabilities, and other operating items;</w:t>
      </w:r>
    </w:p>
    <w:p>
      <w:pPr>
        <w:spacing w:after="0" w:line="53"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cash paid for taxes in 2026 of $27.4 million primarily due to our Chemicals Segment’s final repatriation tax installment payment of $18.6 million under the 2017 Tax Act in 2025 and the relative timing of payments; and</w:t>
      </w:r>
    </w:p>
    <w:p>
      <w:pPr>
        <w:spacing w:after="0" w:line="53"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cash paid for interest in 2026 of $7.5 million primarily due to increased debt levels and higher average interest rates relative to the comparable period in 2025 and the timing of interest payments.</w:t>
      </w:r>
    </w:p>
    <w:p>
      <w:pPr>
        <w:spacing w:after="0" w:line="162"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As noted in our discussion of our Real Estate Management and Development segment above, we have sold all of the land in our residential/planned community, and in accordance with our development agreement with the City of Henderson and our contractual obligations with builders, we expect to complete our land development obligations over the next two years. Because we have largely received cash proceeds from land sales, we expect LandWell to generate negative operating cash flows as it completes its required land development work.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working capital were affected by accounts receivable and inventory changes as shown below:</w:t>
      </w:r>
    </w:p>
    <w:p>
      <w:pPr>
        <w:spacing w:after="0" w:line="225" w:lineRule="exact"/>
        <w:rPr>
          <w:sz w:val="20"/>
          <w:szCs w:val="20"/>
          <w:color w:val="auto"/>
        </w:rPr>
      </w:pPr>
    </w:p>
    <w:p>
      <w:pPr>
        <w:ind w:left="1000" w:right="6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Kronos’ average days sales outstanding (“DSO”) increased from December 31, 2025 to September 30, 2026 primarily due to the relative changes in the timing of sales and collections.</w:t>
      </w:r>
    </w:p>
    <w:p>
      <w:pPr>
        <w:spacing w:after="0" w:line="53"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Kronos’ average days sales in inventory (“DSI”) decreased from December 31, 2025 to September 30, 2026 primarily due to lower inventory volumes attributable to sales volumes exceeding production volumes in the first nine months of 2026.</w:t>
      </w:r>
    </w:p>
    <w:p>
      <w:pPr>
        <w:spacing w:after="0" w:line="53" w:lineRule="exact"/>
        <w:rPr>
          <w:rFonts w:ascii="Times New Roman" w:cs="Times New Roman" w:eastAsia="Times New Roman" w:hAnsi="Times New Roman"/>
          <w:sz w:val="18"/>
          <w:szCs w:val="18"/>
          <w:color w:val="auto"/>
        </w:rPr>
      </w:pPr>
    </w:p>
    <w:p>
      <w:pPr>
        <w:ind w:left="1000" w:right="4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CompX’s average DSO increased from December 31, 2025 to September 30, 2026 primarily due to the relative changes in the timing of sales and collections.</w:t>
      </w:r>
    </w:p>
    <w:p>
      <w:pPr>
        <w:spacing w:after="0" w:line="53" w:lineRule="exact"/>
        <w:rPr>
          <w:rFonts w:ascii="Times New Roman" w:cs="Times New Roman" w:eastAsia="Times New Roman" w:hAnsi="Times New Roman"/>
          <w:sz w:val="18"/>
          <w:szCs w:val="18"/>
          <w:color w:val="auto"/>
        </w:rPr>
      </w:pPr>
    </w:p>
    <w:p>
      <w:pPr>
        <w:jc w:val="both"/>
        <w:ind w:left="1000" w:right="40" w:hanging="317"/>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CompX’s average DSI decreased from December 31, 2025 to September 30, 2026 primarily due to a reduction in days in inventory at both the security products and marine components reporting units, driven by higher sales volumes in the third quarter of 2026 compared to the fourth quarter of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comparative purposes, we have also provided comparable prior period numbers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September 30,</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December 31,</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September 30,</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23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4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4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Kronos:</w:t>
            </w:r>
          </w:p>
        </w:tc>
        <w:tc>
          <w:tcPr>
            <w:tcW w:w="1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Days sales outstanding</w:t>
            </w:r>
          </w:p>
        </w:tc>
        <w:tc>
          <w:tcPr>
            <w:tcW w:w="116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62 days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65 days</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 days</w:t>
            </w:r>
          </w:p>
        </w:tc>
        <w:tc>
          <w:tcPr>
            <w:tcW w:w="160" w:type="dxa"/>
            <w:vAlign w:val="bottom"/>
          </w:tcPr>
          <w:p>
            <w:pPr>
              <w:spacing w:after="0"/>
              <w:rPr>
                <w:sz w:val="18"/>
                <w:szCs w:val="18"/>
                <w:color w:val="auto"/>
              </w:rPr>
            </w:pPr>
          </w:p>
        </w:tc>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66 days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Days sales in inventory</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82 days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79 days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 days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41 days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CompX:</w:t>
            </w: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Days sales outstanding</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33 days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41 days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 days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40 days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Days sales in inventory</w:t>
            </w:r>
          </w:p>
        </w:tc>
        <w:tc>
          <w:tcPr>
            <w:tcW w:w="1160" w:type="dxa"/>
            <w:vAlign w:val="bottom"/>
          </w:tcPr>
          <w:p>
            <w:pPr>
              <w:spacing w:after="0"/>
              <w:rPr>
                <w:sz w:val="20"/>
                <w:szCs w:val="20"/>
                <w:color w:val="auto"/>
              </w:rPr>
            </w:pPr>
          </w:p>
        </w:tc>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94 days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97 days</w:t>
            </w:r>
          </w:p>
        </w:tc>
        <w:tc>
          <w:tcPr>
            <w:tcW w:w="1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 days</w:t>
            </w:r>
          </w:p>
        </w:tc>
        <w:tc>
          <w:tcPr>
            <w:tcW w:w="160" w:type="dxa"/>
            <w:vAlign w:val="bottom"/>
          </w:tcPr>
          <w:p>
            <w:pPr>
              <w:spacing w:after="0"/>
              <w:rPr>
                <w:sz w:val="20"/>
                <w:szCs w:val="20"/>
                <w:color w:val="auto"/>
              </w:rPr>
            </w:pPr>
          </w:p>
        </w:tc>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97 days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960" w:type="dxa"/>
            <w:vAlign w:val="bottom"/>
          </w:tcPr>
          <w:p>
            <w:pPr>
              <w:spacing w:after="0"/>
              <w:rPr>
                <w:sz w:val="24"/>
                <w:szCs w:val="24"/>
                <w:color w:val="auto"/>
              </w:rPr>
            </w:pPr>
          </w:p>
        </w:tc>
        <w:tc>
          <w:tcPr>
            <w:tcW w:w="2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have complete access to the cash flows of our majority-owned subsidiaries, due in part to limitations contained in certain credit agreements of our subsidiaries and because we do not own 100% of these subsidiaries. A detail of our consolidated cash flows from operating activities is presented in the table below. Intercompany dividends have been eliminated.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20" w:type="dxa"/>
            <w:vAlign w:val="bottom"/>
            <w:vMerge w:val="restart"/>
          </w:tcPr>
          <w:p>
            <w:pPr>
              <w:ind w:left="616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Kronos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8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Valhi exclusive of subsidiaries</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CompX</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NLI exclusive of subsidiaries</w:t>
            </w: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Tremont exclusive of subsidiaries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BMI</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LandWell</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Eliminations and other</w:t>
            </w: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0" w:type="dxa"/>
            <w:vAlign w:val="bottom"/>
          </w:tcPr>
          <w:p>
            <w:pPr>
              <w:spacing w:after="0"/>
              <w:rPr>
                <w:sz w:val="1"/>
                <w:szCs w:val="1"/>
                <w:color w:val="auto"/>
              </w:rPr>
            </w:pPr>
          </w:p>
        </w:tc>
      </w:tr>
      <w:tr>
        <w:trPr>
          <w:trHeight w:val="209"/>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 –</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nine months ended September 30, 2026:</w:t>
      </w:r>
    </w:p>
    <w:p>
      <w:pPr>
        <w:spacing w:after="0" w:line="198" w:lineRule="exact"/>
        <w:rPr>
          <w:sz w:val="20"/>
          <w:szCs w:val="20"/>
          <w:color w:val="auto"/>
        </w:rPr>
      </w:pPr>
    </w:p>
    <w:p>
      <w:pPr>
        <w:ind w:left="1000" w:right="2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spent $42.9 million in capital expenditures, including $39.8 million in our Chemicals Segment and $3.1 million in our Component Products Segment;</w:t>
      </w:r>
    </w:p>
    <w:p>
      <w:pPr>
        <w:spacing w:after="0" w:line="53"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LandWell received proceeds of $6.8 million on a building sale (see Note 12 to our Condensed Consolidated Financial Statements); and</w:t>
      </w:r>
    </w:p>
    <w:p>
      <w:pPr>
        <w:spacing w:after="0" w:line="53"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net purchases of $.6 million of marketable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 –</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nine months ended September 30, 2026:</w:t>
      </w:r>
    </w:p>
    <w:p>
      <w:pPr>
        <w:spacing w:after="0" w:line="185" w:lineRule="exact"/>
        <w:rPr>
          <w:sz w:val="20"/>
          <w:szCs w:val="20"/>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$18.3 million under the Contran credit facility; and</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aggregate quarterly dividends to Valhi stockholders of $.24 per share ($6.8 million).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declaration and payment of future dividends, and the amount thereof, is discretionary and is dependent upon a number of factors including our current and future expected results of operations, financial condition, cash requirements for our businesses, contractual and other requirements and restrictions and other factors deemed relevant by our board of directors. The amount and timing of past dividends is not necessarily indicative of the amount or timing of any future dividends which might be paid. There are currently no contractual restrictions on the amount of dividends which we may pay. Distributions to noncontrolling interest in subsidiaries in the first nine months of 2026 are comprised of CompX dividends paid to shareholders other than NLI, Kronos dividends paid to shareholders other than us and NLI, and LandWell dividends paid to partners other than us and BMI.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Debt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2026, our consolidated indebtedness was comprised of:</w:t>
      </w:r>
    </w:p>
    <w:p>
      <w:pPr>
        <w:spacing w:after="0" w:line="225" w:lineRule="exact"/>
        <w:rPr>
          <w:sz w:val="20"/>
          <w:szCs w:val="20"/>
          <w:color w:val="auto"/>
        </w:rPr>
      </w:pPr>
    </w:p>
    <w:p>
      <w:pPr>
        <w:ind w:left="100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Valhi’s $5.3 million outstanding on its $125 million credit facility with Contran which is due no earlier than December 31, 2027;</w:t>
      </w:r>
    </w:p>
    <w:p>
      <w:pPr>
        <w:spacing w:after="0" w:line="53"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€426.174 million aggregate outstanding on Kronos’ 9.50% Senior Secured Notes due March 2029 ($486.2 million carrying amount, net of unamortized premium and unamortized debt issuance costs);</w:t>
      </w:r>
    </w:p>
    <w:p>
      <w:pPr>
        <w:spacing w:after="0" w:line="53"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 million outstanding on Kronos’ subordinated, unsecured term loan from Contran with an interest rate of 9.54% due September 2029 (the “Contran Term Loan”); and</w:t>
      </w:r>
    </w:p>
    <w:p>
      <w:pPr>
        <w:spacing w:after="0" w:line="53"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million on LandWell’s bank loan due April 2036.</w:t>
      </w:r>
    </w:p>
    <w:p>
      <w:pPr>
        <w:sectPr>
          <w:pgSz w:w="11900" w:h="16838" w:orient="portrait"/>
          <w:cols w:equalWidth="0" w:num="1">
            <w:col w:w="9920"/>
          </w:cols>
          <w:pgMar w:left="980" w:top="513" w:right="99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Availability under Kronos’ Global Revolver is subject to a borrowing base calculation, as defined in the agreement. The borrowing base calculated for the period ended September 30, 2026 was approximately $254 million.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Contran Term loan is subordinated in right of payment to Kronos’ Senior Secured Notes and its Global Revolver. Kronos’ Senior Secured Notes, the Contran Term Loan and Kronos’ Global Revolver contain a number of covenants and restrictions which, among other things, restrict its ability to incur or guarantee additional debt, incur liens, pay dividends or make other restricted payments, or merge or consolidate with, or sell or transfer substantially all of its assets to, another entity, and contain other provisions and restrictive covenants customary in lending transactions of these types. Our credit agreements contain provisions which could result in the acceleration of indebtedness prior to their stated maturity for reasons other than defaults for failure to comply with typical financial or payment covenants. For example, the credit agreements allow the lender to accelerate the maturity of the indebtedness upon a change of control (as defined in the agreement) of the borrower. In addition, the credit agreements could result in the acceleration of all or a portion of the indebtedness following a sale of assets outside the ordinary course of business. The terms of all of our debt instruments are discussed in Note 9 to our Consolidated Financial Statements included in our 2025 Annual Report. We are in compliance with all of our debt covenants at September 30, 2026. We believe we will be able to continue to comply with the financial covenants contained in our debt obligations through their maturity; however, if future operating results differ materially from our expectations we may be unable to maintain compliance.</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assets consist primarily of investments in operating subsidiaries, and our ability to service our obligations, including Kronos’ Senior Secured Notes and the Contran Term Loan, depends in part upon the distribution of earnings of our subsidiaries, whether in the form of dividends, advances or payments on account of intercompany obligations or otherwise. Kronos’ Senior Secured Notes are collateralized by, among other things, a first priority lien on (i) 100% of the common stock or other ownership interests of each existing and future direct domestic subsidiary of KII and the guarantors, and (ii) 65% of the voting common stock or other ownership interests and 100% of the non-voting common stock or other ownership interests of each non-U.S. subsidiary that is directly owned by KII or any guarantor. Kronos’ Global Revolver is collateralized by, among other things, a first priority lien on the borrower’s trade receivables and inventories. See Note 7 to our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Cash Requirements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Liquidity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primary source of liquidity on an ongoing basis is our cash flows from operating activities and borrowings under various lines of credit and notes. We generally use these amounts to (i) fund capital expenditures, (ii) repay short-term indebtedness incurred primarily for working capital purposes and (iii) provide for the payment of dividends (including dividends paid to us by our subsidiaries) or treasury stock purchases. From time-to-time we will incur indebtedness, generally to (i) fund short-term working capital needs,</w:t>
      </w:r>
    </w:p>
    <w:p>
      <w:pPr>
        <w:spacing w:after="0" w:line="3" w:lineRule="exact"/>
        <w:rPr>
          <w:sz w:val="20"/>
          <w:szCs w:val="20"/>
          <w:color w:val="auto"/>
        </w:rPr>
      </w:pPr>
    </w:p>
    <w:p>
      <w:pPr>
        <w:jc w:val="both"/>
        <w:ind w:firstLine="8"/>
        <w:spacing w:after="0" w:line="252" w:lineRule="auto"/>
        <w:tabs>
          <w:tab w:leader="none" w:pos="2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 existing indebtedness, (iii) make investments in marketable and other securities (including the acquisition of securities issued by our subsidiaries and affiliates) or (iv) fund major capital expenditures or the acquisition of other assets outside the ordinary course of business. Occasionally we sell assets outside the ordinary course of business, and we generally use the proceeds to (i) repay existing indebtedness (including indebtedness which may have been collateralized by the assets sold), (ii) make investments in marketable and other securities, (iii) fund major capital expenditures or the acquisition of other assets outside the ordinary course of business or (iv) pay dividends.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routinely compare our liquidity requirements and alternative uses of capital against the estimated future cash flows we expect to receive from our subsidiaries, and the estimated sales value of those units. As a result of this process, we have in the past sought, and may in the future seek, to raise additional capital, refinance or restructure indebtedness, repurchase indebtedness in the market or otherwise, modify our dividend policies, consider the sale of our interests in our subsidiaries, affiliates, business units, marketable securities or other assets, or take a combination of these and other steps, to increase liquidity, reduce indebtedness and fund future activities. Such activities have in the past and may in the future involve related companies. We may also from time to time engage in preliminary discussions with existing or potential investors regarding the timing or terms of any such refinancing or other potential transaction. From time to time, we and our subsidiaries may enter into intercompany loans as a cash management tool. Such notes are structured as revolving demand notes and pay and receive interest on terms we believe are generally more favorable than current debt and investment market rates. The companies that borrow under these notes have sufficient liquidity to repay the notes. All of these notes and related interest expense and income are eliminated in our Condensed Consolidated Financial Statements.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periodically evaluate acquisitions of interests in or combinations with companies (including our affiliates) that may or may not be engaged in businesses related to our current businesses. We intend to consider such acquisition activities in the future and, in connection with this activity, may consider issuing additional equity securities and increasing indebtedness. From time to time, we also evaluate the restructuring of ownership interests among our respective subsidiaries and related companies.</w:t>
      </w:r>
    </w:p>
    <w:p>
      <w:pPr>
        <w:sectPr>
          <w:pgSz w:w="11900" w:h="16838" w:orient="portrait"/>
          <w:cols w:equalWidth="0" w:num="1">
            <w:col w:w="9920"/>
          </w:cols>
          <w:pgMar w:left="980" w:top="513" w:right="99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upon our expectations of our operating performance, and the anticipated demands on our cash resources, we expect to have sufficient liquidity to meet our short-term (defined as the twelve-month period ending September 30, 2027) and long-term obligations (defined as the five-year period ending September 30, 2031). Kronos’ Global Revolver matures in July 2029, and at September 30, 2026 Kronos had total availability for borrowing of approximately $254 million. The borrowing base is calculated at least quarterly, and the amount available for borrowing may change based on applicable period end balances. See Note 7 to our Condensed Consolidated Financial Statements. If actual developments differ from our expectations, our liquidity could be adversely affected.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2026, we had an aggregate of $238.6 million of restricted and unrestricted cash, cash equivalents and marketable securities, including $32.9 million held by our non-U.S. subsidiaries. A detail by entity is presented in the table below.</w:t>
      </w:r>
    </w:p>
    <w:p>
      <w:pPr>
        <w:spacing w:after="0" w:line="17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Held outside</w:t>
            </w:r>
          </w:p>
        </w:tc>
      </w:tr>
      <w:tr>
        <w:trPr>
          <w:trHeight w:val="238"/>
        </w:trPr>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0"/>
        </w:trPr>
        <w:tc>
          <w:tcPr>
            <w:tcW w:w="5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r>
      <w:tr>
        <w:trPr>
          <w:trHeight w:val="196"/>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5"/>
          </w:tcPr>
          <w:p>
            <w:pPr>
              <w:jc w:val="center"/>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Kronos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CompX</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NLI exclusive of its subsidiaries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BMI</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Tremont exclusive of its subsidiaries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LandWell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Valhi exclusive of its subsidiaries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 restricted cash and marketable securities</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238.6</w:t>
            </w:r>
          </w:p>
        </w:tc>
        <w:tc>
          <w:tcPr>
            <w:tcW w:w="200" w:type="dxa"/>
            <w:vAlign w:val="bottom"/>
            <w:gridSpan w:val="2"/>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r>
      <w:tr>
        <w:trPr>
          <w:trHeight w:val="20"/>
        </w:trPr>
        <w:tc>
          <w:tcPr>
            <w:tcW w:w="5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Other –</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expect our aggregate capital expenditures for 2026 will be approximately $65 million as follows:</w:t>
      </w:r>
    </w:p>
    <w:p>
      <w:pPr>
        <w:spacing w:after="0" w:line="225" w:lineRule="exact"/>
        <w:rPr>
          <w:sz w:val="20"/>
          <w:szCs w:val="20"/>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by our Chemicals Segment; and</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by our Component Products Segment.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LandWell expects to spend approximately $13 million on land development costs during 2026.</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Capital spending for 2026 is expected to be funded through cash generated from operations or borrowing under our existing credit facilities. Planned capital expenditures for the remainder of 2026 at Kronos and CompX will primarily be to maintain and improve our existing facilities and, as it relates to CompX, to meet expected customer demand and maintain technology infrastructure. It is possible we will delay planned capital projects based on market conditions including but not limited to expected demand and the general availability of materials, equipment and supplies necessary to complete such projects.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Repurchases of Common Stock –</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Kronos and CompX have programs to repurchase common stock from time to time as market conditions permit. These stock repurchase programs do not include specific price targets or timetables and may be suspended at any time. Depending on market conditions, these programs may be terminated prior to completion. Cash on hand will be used to acquire the shares, and repurchased shares will be added to treasury shares and cancelled.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2026, Valhi had approximately .3 million shares available to repurchase under authorizations made by our board of directors.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Kronos’ board of directors previously authorized the repurchase of up to 2.0 million shares of its common stock in open market transactions, including block purchases, or in privately-negotiated transactions at unspecified prices and over an unspecified period of time. Kronos may repurchase its common stock from time to time as market conditions permit. At September 30, 2026, approximately 1.0 million shares were available for repurchase under these authorizations.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CompX’s board of directors previously authorized the repurchase of its Class A common stock in open market transactions, including block purchases, or in privately-negotiated transactions at unspecified prices and over an unspecified period of time. At September 30, 2026, approximately .5 million shares were available for repurchase under these authorizations.</w:t>
      </w:r>
    </w:p>
    <w:p>
      <w:pPr>
        <w:sectPr>
          <w:pgSz w:w="11900" w:h="16838" w:orient="portrait"/>
          <w:cols w:equalWidth="0" w:num="1">
            <w:col w:w="9920"/>
          </w:cols>
          <w:pgMar w:left="980" w:top="513" w:right="99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Because our operations are conducted primarily through subsidiaries and affiliates, our long-term ability to meet parent company level corporate obligations is largely dependent on the receipt of dividends or other distributions from our subsidiaries and affiliates. Kronos paid a regular dividend of $.05 per share in each quarter of 2025 for which we received $11.6 million. In February 2026 the Kronos board of directors approved a quarterly dividend of $.05 per share. If Kronos were to pay its $.05 per share dividend in each quarter of 2026 based on the 58.0 million shares we held of Kronos common stock at September 30, 2026, during 2026 we would receive aggregate regular dividends from Kronos of $11.6 million. NLI paid a quarterly dividend of $.09 per share in 2025 for which we received $14.5 million. In August 2025 the NLI board of directors declared a special dividend of $.21 per share on its common stock. We received $8.5 million from this dividend, which is not expected to be recurring. In February 2026 the NLI board of directors approved a quarterly dividend of $.10 per share. If NLI were to pay its $.10 per share dividend in each quarter of 2026 based on the 40.4 million shares we held of NLI common stock at September 30, 2026, during 2026 we would receive aggregate quarterly dividends from NLI of $16.2 million. BMI and LandWell pay cash dividends from time to time, but the timing and amount of such dividends are uncertain. In this regard, we received aggregate dividends from BMI and LandWell of $19.5 million in 2025 and $2.5 million through September 30, 2026. All of our ownership interest in CompX is held through our ownership in NLI; as such we do not receive any dividends from CompX. Instead any dividend paid by CompX is paid to NLI.</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subsidiaries have various credit agreements with unrelated third-party lenders which contain customary limitations on the payment of dividends; however, these restrictions in the past have not significantly impacted their ability to pay dividends.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our Subsidiaries and Affiliates and Other Acquisitions –</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purchase the securities of our subsidiaries and affiliates or third parties in market or privately-negotiated transactions. We base our purchase decisions on a variety of factors, including an analysis of the optimal use of our capital, taking into account the market value of the securities and the relative value of expected returns on alternative investments. In connection with these activities, we may consider issuing additional equity securities or increasing our indebtedness. We may also evaluate the restructuring of ownership interests of our businesses among our subsidiaries and related companies.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generally do not guarantee any indebtedness or other obligations of our subsidiaries or affiliates. Our subsidiaries are not required to pay us dividends. If one or more of our subsidiaries were unable to maintain its current level of dividends, either due to restrictions contained in a credit agreement or to satisfy its liabilities or otherwise, our ability to service our liabilities or to pay dividends on our common stock could be adversely impacted. If this were to occur, we might consider reducing or eliminating our dividends or selling interests in subsidiaries or other assets. If we were required to liquidate assets to generate funds to satisfy our liabilities, we might be required to sell at less than what we believe is the long-term value of such assets.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 $50 million revolving credit facility with a subsidiary of NLI secured with approximately 35.2 million shares of the common stock of Kronos held by NLI’s subsidiary as collateral. Outstanding borrowings under the credit facility, as amended, bear interest at the prime rate plus 1.875% per annum, payable quarterly, with all amounts due on December 31, 2030. The maximum principal amount which may be outstanding from time-to-time under the credit facility is limited to 50% of the value of the Kronos stock using the most recent closing price. The credit facility contains a number of covenants and restrictions which, among other things, restrict NLI’s subsidiary’s ability to incur additional debt, incur liens, and merge or consolidate with, or sell or transfer substantially all of NLI’s subsidiary’s assets to, another entity, and require NLI’s subsidiary to maintain a minimum specified level of consolidated net worth. Upon an event of default (as defined in the credit facility), Valhi will be entitled to terminate its commitment to make further loans to NLI’s subsidiary, declare the outstanding loans (with interest) immediately due and payable, and exercise its rights with respect to the collateral under the loan documents. Such collateral rights include, upon certain insolvency events with respect to NLI’s subsidiary or NLI, the right to purchase all of the Kronos common stock at a purchase price equal to the aggregate market value, less amounts owing to Valhi under the loan documents, and up to 50% of such purchase price may be paid by Valhi in the form of an unsecured promissory note bearing interest at the prime rate plus 2.75% per annum, payable quarterly, with all amounts due no later than five years from the date of purchase, with the remainder of such purchase price payable in cash at the date of purchase. We also eliminate any such intercompany borrowings in our Condensed Consolidated Financial Statements. There is $.5 million outstanding under this facility at September 30, 2026.</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have an unsecured revolving demand promissory note with CompX which, as amended, provides for borrowings from CompX of up to $25 million. We eliminate these intercompany borrowings in our Condensed Consolidated Financial Statements. The facility, as amended, is due on demand, but in any event no earlier than December 31, 2027. We had gross borrowings of $12.3 million and gross repayments of $14.4 million during the first nine months of 2026, and $5.9 million was outstanding at September 30, 2026. We could borrow $19.1 million under our current intercompany facility with CompX at September 30, 2026. CompX’s obligation to loan us money under this note is at CompX’s discretion.</w:t>
      </w:r>
    </w:p>
    <w:p>
      <w:pPr>
        <w:sectPr>
          <w:pgSz w:w="11900" w:h="16838" w:orient="portrait"/>
          <w:cols w:equalWidth="0" w:num="1">
            <w:col w:w="9920"/>
          </w:cols>
          <w:pgMar w:left="980" w:top="513" w:right="99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contractual obligations since we filed our 2025 Annual Report and we refer you to that report for a complete description of these commitments.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certain commitments and contingencies, as more fully described in our 2025 Annual Report, or in Notes 2, 13 and 16 to our Condensed Consolidated Financial Statements and in Part II, Item 1 of this Quarterly Report, including:</w:t>
      </w:r>
    </w:p>
    <w:p>
      <w:pPr>
        <w:spacing w:after="0" w:line="162" w:lineRule="exact"/>
        <w:rPr>
          <w:sz w:val="20"/>
          <w:szCs w:val="20"/>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income tax contingencies in various U.S. and non-U.S. jurisdictions;</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environmental remediation matters involving NLI and BMI;</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related to NLI’s former involvement in the manufacture of lead pigment and lead-based paint; and</w:t>
      </w:r>
    </w:p>
    <w:p>
      <w:pPr>
        <w:spacing w:after="0" w:line="11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litigation to which we are a party.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such legal proceedings, various legislation and administrative regulations have, from time to time, been proposed that seek to (i) impose various obligations on present and former manufacturers of lead pigment and lead-based paint (including NLI) with respect to asserted health concerns associated with the use of such products and (ii) effectively overturn court decisions in which NLI and other pigment manufacturers have been successful. Examples of such proposed legislation include bills which would permit civil liability for damages on the basis of market share, rather than requiring plaintiffs to prove that the defendant’s product caused the alleged damage, and bills which would revive actions barred by the statute of limitations. While no legislation or regulations have been enacted to date that are expected to have a material adverse effect on our consolidated financial position, results of operations or liquidity, enactment of such legislation could have such an effect.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19 to our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policies and estimates, refer to Part I, Item 7 - “Management’s Discussion and Analysis of Financial Condition and Results of Operations” in our 2025 Annual Report. There have been no changes in our critical accounting policies or estimates during the first nine months of 2026.</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exposed to market risk, including currency exchange rates, interest rates, equity security prices, and raw material prices. There have been no material changes in these market risks since we filed our 2025 Annual Report, and refer you to Part I, Item 7A.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“Quantitative and Qualitative Disclosures About Market Risk” in our 2025 Annual Report.</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which, as defined in Exchange Act Rule 13a-15(e), means controls and other procedures that are designed to ensure that information required to be disclosed in the reports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Each of Michael S. Simmons, our Vice Chairman of the Board, President and Chief Executive Officer, and Amy Allbach Samford, our Executive Vice President and Chief Financial Officer, have evaluated the design and effectiveness of our disclosure controls and procedures as of September 30, 2026. Based upon their evaluation, these executive officers have concluded that our disclosure controls and procedures were effective as of the date of such evaluation.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which, as defined by Exchange Act Rule 13a-15(f) means a process designed by, or under the supervision of, our principal executive and principal financial officers, or persons performing similar functions,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43" w:lineRule="exact"/>
        <w:rPr>
          <w:sz w:val="20"/>
          <w:szCs w:val="20"/>
          <w:color w:val="auto"/>
        </w:rPr>
      </w:pPr>
    </w:p>
    <w:p>
      <w:pPr>
        <w:ind w:left="1000" w:right="2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53"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management and directors, and</w:t>
      </w:r>
    </w:p>
    <w:p>
      <w:pPr>
        <w:spacing w:after="0" w:line="67"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an unauthorized acquisition, use or disposition of assets that could have a material effect on our Condensed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to our internal control over financial reporting during the quarter ended September 30, 2026 that has materially affected, or is reasonably likely to materially affect, our internal control over financial reporting.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matter discussed below, refer to Note 16 to our Condensed Consolidated Financial Statements, our March 31, 2026 Quarterly Report on Form 10-Q, our June 30, 2026 Quarterly Report on Form 10-Q and our 2025 Annual Report for descriptions of certain legal proceedings.</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October 2026, NLI was served with a complaint in </w:t>
      </w:r>
      <w:r>
        <w:rPr>
          <w:rFonts w:ascii="Times New Roman" w:cs="Times New Roman" w:eastAsia="Times New Roman" w:hAnsi="Times New Roman"/>
          <w:sz w:val="18"/>
          <w:szCs w:val="18"/>
          <w:i w:val="1"/>
          <w:iCs w:val="1"/>
          <w:color w:val="auto"/>
        </w:rPr>
        <w:t>United States v. NLI Holdings, Inc.</w:t>
      </w:r>
      <w:r>
        <w:rPr>
          <w:rFonts w:ascii="Times New Roman" w:cs="Times New Roman" w:eastAsia="Times New Roman" w:hAnsi="Times New Roman"/>
          <w:sz w:val="18"/>
          <w:szCs w:val="18"/>
          <w:color w:val="auto"/>
        </w:rPr>
        <w:t xml:space="preserve"> (United States District Court for the Western District of New York, Case 1:26-cv-02382). This is a CERCLA cost recovery action brought by the United States to address radiological contamination at two residential properties in Lewiston, New York. NLI intends to deny liability and will defend vigorously against all claims.</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October 2026, LandWell and BMI were served with a complaint in </w:t>
      </w:r>
      <w:r>
        <w:rPr>
          <w:rFonts w:ascii="Times New Roman" w:cs="Times New Roman" w:eastAsia="Times New Roman" w:hAnsi="Times New Roman"/>
          <w:sz w:val="18"/>
          <w:szCs w:val="18"/>
          <w:i w:val="1"/>
          <w:iCs w:val="1"/>
          <w:color w:val="auto"/>
        </w:rPr>
        <w:t>Victor Zamora, et al. v. Precision Castparts Corp., et al.</w:t>
      </w:r>
      <w:r>
        <w:rPr>
          <w:rFonts w:ascii="Times New Roman" w:cs="Times New Roman" w:eastAsia="Times New Roman" w:hAnsi="Times New Roman"/>
          <w:sz w:val="18"/>
          <w:szCs w:val="18"/>
          <w:color w:val="auto"/>
        </w:rPr>
        <w:t xml:space="preserve"> (District Court for Clark County, Nevada, Case No. A-26-954762-C). The action was brought by a construction worker and his wife against Precision Castparts Corp., LandWell, BMI, and the City of Henderson, seeking damages for injuries allegedly sustained by the worker while performing his job at a construction site. LandWell and BMI intend to deny liability and defend vigorously against the claim.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the risk factors related to our businesses, please refer to Part I, Item 1A, “Risk Factors,” in our 2025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p>
      <w:pPr>
        <w:jc w:val="center"/>
        <w:ind w:right="78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7780"/>
        <w:spacing w:after="0"/>
        <w:rPr>
          <w:sz w:val="20"/>
          <w:szCs w:val="20"/>
          <w:color w:val="auto"/>
        </w:rPr>
      </w:pPr>
      <w:r>
        <w:rPr>
          <w:rFonts w:ascii="Times New Roman" w:cs="Times New Roman" w:eastAsia="Times New Roman" w:hAnsi="Times New Roman"/>
          <w:sz w:val="18"/>
          <w:szCs w:val="18"/>
          <w:b w:val="1"/>
          <w:bCs w:val="1"/>
          <w:color w:val="auto"/>
        </w:rPr>
        <w:t>ITEM No.  ​ Exhibit 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Certification</w:t>
            </w:r>
          </w:p>
        </w:tc>
        <w:tc>
          <w:tcPr>
            <w:tcW w:w="792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Certification</w:t>
            </w:r>
          </w:p>
        </w:tc>
        <w:tc>
          <w:tcPr>
            <w:tcW w:w="7920" w:type="dxa"/>
            <w:vAlign w:val="bottom"/>
          </w:tcPr>
          <w:p>
            <w:pPr>
              <w:spacing w:after="0"/>
              <w:rPr>
                <w:sz w:val="24"/>
                <w:szCs w:val="24"/>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Certification</w:t>
            </w:r>
          </w:p>
        </w:tc>
        <w:tc>
          <w:tcPr>
            <w:tcW w:w="7920" w:type="dxa"/>
            <w:vAlign w:val="bottom"/>
          </w:tcPr>
          <w:p>
            <w:pPr>
              <w:spacing w:after="0"/>
              <w:rPr>
                <w:sz w:val="24"/>
                <w:szCs w:val="24"/>
                <w:color w:val="auto"/>
              </w:rPr>
            </w:pPr>
          </w:p>
        </w:tc>
      </w:tr>
      <w:tr>
        <w:trPr>
          <w:trHeight w:val="4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w:t>
            </w:r>
          </w:p>
        </w:tc>
      </w:tr>
      <w:tr>
        <w:trPr>
          <w:trHeight w:val="234"/>
        </w:trPr>
        <w:tc>
          <w:tcPr>
            <w:tcW w:w="1060" w:type="dxa"/>
            <w:vAlign w:val="bottom"/>
          </w:tcPr>
          <w:p>
            <w:pPr>
              <w:spacing w:after="0"/>
              <w:rPr>
                <w:sz w:val="20"/>
                <w:szCs w:val="20"/>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198" w:lineRule="exact"/>
        <w:rPr>
          <w:sz w:val="20"/>
          <w:szCs w:val="20"/>
          <w:color w:val="auto"/>
        </w:rPr>
      </w:pPr>
    </w:p>
    <w:p>
      <w:pPr>
        <w:ind w:left="4880" w:right="2320" w:hanging="4871"/>
        <w:spacing w:after="0" w:line="454" w:lineRule="auto"/>
        <w:tabs>
          <w:tab w:leader="none" w:pos="10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226060</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80" w:type="dxa"/>
            <w:vAlign w:val="bottom"/>
            <w:gridSpan w:val="2"/>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vMerge w:val="restart"/>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VALHI, INC.</w:t>
            </w: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6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0" w:type="dxa"/>
            <w:vAlign w:val="bottom"/>
          </w:tcPr>
          <w:p>
            <w:pPr>
              <w:spacing w:after="0"/>
              <w:rPr>
                <w:sz w:val="1"/>
                <w:szCs w:val="1"/>
                <w:color w:val="auto"/>
              </w:rPr>
            </w:pPr>
          </w:p>
        </w:tc>
      </w:tr>
      <w:tr>
        <w:trPr>
          <w:trHeight w:val="86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5, 2026</w:t>
            </w:r>
          </w:p>
        </w:tc>
        <w:tc>
          <w:tcPr>
            <w:tcW w:w="180" w:type="dxa"/>
            <w:vAlign w:val="bottom"/>
          </w:tcPr>
          <w:p>
            <w:pPr>
              <w:spacing w:after="0"/>
              <w:rPr>
                <w:sz w:val="24"/>
                <w:szCs w:val="24"/>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Allbach Samford</w:t>
            </w: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Amy Allbach Samford</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86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5, 2026</w:t>
            </w:r>
          </w:p>
        </w:tc>
        <w:tc>
          <w:tcPr>
            <w:tcW w:w="180" w:type="dxa"/>
            <w:vAlign w:val="bottom"/>
          </w:tcPr>
          <w:p>
            <w:pPr>
              <w:spacing w:after="0"/>
              <w:rPr>
                <w:sz w:val="24"/>
                <w:szCs w:val="24"/>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R. Moore</w:t>
            </w: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R. Moore</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Controller)</w:t>
            </w:r>
          </w:p>
        </w:tc>
        <w:tc>
          <w:tcPr>
            <w:tcW w:w="0" w:type="dxa"/>
            <w:vAlign w:val="bottom"/>
          </w:tcPr>
          <w:p>
            <w:pPr>
              <w:spacing w:after="0"/>
              <w:rPr>
                <w:sz w:val="1"/>
                <w:szCs w:val="1"/>
                <w:color w:val="auto"/>
              </w:rPr>
            </w:pPr>
          </w:p>
        </w:tc>
      </w:tr>
      <w:tr>
        <w:trPr>
          <w:trHeight w:val="540"/>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80" w:type="dxa"/>
            <w:vAlign w:val="bottom"/>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46</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Simmons, certify that:</w:t>
      </w:r>
    </w:p>
    <w:p>
      <w:pPr>
        <w:spacing w:after="0" w:line="18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Valhi,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S.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4201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 Simmons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A. Samford,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Valhi,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A. Samford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Valhi, Inc. (the “Company”) on Form 10-Q for the quarter ended September 30, 2026 as filed with the Securities and Exchange Commission on the date hereof (the “Report”), we, Michael S. Simmons, Vice Chairman of the Board, President and Chief Executive Officer, and Amy A. Samford, Executive Vice President and Chief Financial Officer of the Company, certify, pursuant to 18 U.S.C. Section 1350, as adopted pursuant to Section 906 of the Sarbanes-Oxley Act of 2002, that:</w:t>
      </w:r>
    </w:p>
    <w:p>
      <w:pPr>
        <w:spacing w:after="0" w:line="72" w:lineRule="exact"/>
        <w:rPr>
          <w:sz w:val="20"/>
          <w:szCs w:val="20"/>
          <w:color w:val="auto"/>
        </w:rPr>
      </w:pPr>
    </w:p>
    <w:p>
      <w:pPr>
        <w:ind w:left="700" w:hanging="251"/>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firstLine="449"/>
        <w:spacing w:after="0" w:line="282"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S. Simmons</w:t>
            </w: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Amy A. Samford</w:t>
            </w:r>
          </w:p>
        </w:tc>
      </w:tr>
      <w:tr>
        <w:trPr>
          <w:trHeight w:val="191"/>
        </w:trPr>
        <w:tc>
          <w:tcPr>
            <w:tcW w:w="20" w:type="dxa"/>
            <w:vAlign w:val="bottom"/>
          </w:tcPr>
          <w:p>
            <w:pPr>
              <w:spacing w:after="0"/>
              <w:rPr>
                <w:sz w:val="16"/>
                <w:szCs w:val="16"/>
                <w:color w:val="auto"/>
              </w:rPr>
            </w:pPr>
          </w:p>
        </w:tc>
        <w:tc>
          <w:tcPr>
            <w:tcW w:w="4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S. Simmons</w:t>
            </w:r>
          </w:p>
        </w:tc>
        <w:tc>
          <w:tcPr>
            <w:tcW w:w="240" w:type="dxa"/>
            <w:vAlign w:val="bottom"/>
          </w:tcPr>
          <w:p>
            <w:pPr>
              <w:spacing w:after="0"/>
              <w:rPr>
                <w:sz w:val="16"/>
                <w:szCs w:val="16"/>
                <w:color w:val="auto"/>
              </w:rPr>
            </w:pPr>
          </w:p>
        </w:tc>
        <w:tc>
          <w:tcPr>
            <w:tcW w:w="4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Amy A. Samford</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Chairman of the Board, President and</w:t>
            </w:r>
          </w:p>
        </w:tc>
        <w:tc>
          <w:tcPr>
            <w:tcW w:w="2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2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2026</w:t>
            </w: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5, 2026</w:t>
            </w:r>
          </w:p>
        </w:tc>
        <w:tc>
          <w:tcPr>
            <w:tcW w:w="240" w:type="dxa"/>
            <w:vAlign w:val="bottom"/>
          </w:tcPr>
          <w:p>
            <w:pPr>
              <w:spacing w:after="0"/>
              <w:rPr>
                <w:sz w:val="20"/>
                <w:szCs w:val="20"/>
                <w:color w:val="auto"/>
              </w:rPr>
            </w:pPr>
          </w:p>
        </w:tc>
        <w:tc>
          <w:tcPr>
            <w:tcW w:w="48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lowerRoman"/>
      <w:start w:val="2"/>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Roman"/>
      <w:start w:val="2"/>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04"/>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2026-11-05T15:41:04Z</dcterms:created>
  <dcterms:modified xsi:type="dcterms:W3CDTF">2026-11-05T15:41:04Z</dcterms:modified>
</cp:coreProperties>
</file>